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6813-2014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23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fundación Zalima, titular del centro docente privado concertado “Zalima”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 administrativo, interpuesto ante la Sala de lo Contencioso-Administrativo del Tribunal Superior de Justicia de Andalucía, con sede en Sevilla, se basaba, entre otros motivos de ilegalidad y de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31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19 de septiembre de 2014, sin pronunciarse sobre el fondo del asunto y atendiendo solo a los aspectos formales, el Ministerio Fiscal expresó la procedencia de plantear la cuestión. El Letrado de la Junta de Andalucía, mediante escrito presentado el 30 de septiembre de 2014, consideró que procedía el planteamiento de la cuestión. La parte recurrente, en escrito presentado el 23 de septiembre de 2014, formuló alegaciones solicitando que la Sala adopte la decisión que en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23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del Tribunal Constitucional, a propuesta de la Sección Tercera,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marzo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marzo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