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6582-2014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 al escolarizar solo alumnos varones.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 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19 de septiembre de 2014, sin pronunciarse sobre el fondo del asunto y atendiendo solo a los aspectos formales, el Ministerio Fiscal expresó la procedencia de plantear la cuestión. El Letrado de la Junta de Andalucía, mediante escrito presentado el 1 de octubre de 2014, consideró que procedía el planteamiento de la cuestión, al estimar que el art. 17.8 de la Ley 17/2012, de 27 de diciembre, infringe el art. 81.1 CE, así como los arts. 9.3, 14, 66.2 y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de este Tribunal el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febrero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 Sesenta y uno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