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6810-2014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23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19 de septiembre de 2014, sin pronunciarse sobre el fondo del asunto y atendiendo solo a los aspectos formales, el Ministerio Fiscal expresó la procedencia de plantear la cuestión. El Letrado de la Junta de Andalucía, mediante escrito presentado el 30 de septiembre de 2014, consideró que procedía el planteamiento de la cuestión, al estimar que el art. 17.8 de la Ley 17/2012, de 27 de diciembre, infringe el art. 81.1 CE, así como los arts. 9.3, 14, 66.2 y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23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febrero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