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6812-2014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de madres y padres de alumnos del colegio Nuestra Señora de Lourdes interpuso recurso contencioso-administrativo contra la Orden de 27 de febrero de 2013, de la Consejería de Educación de la Junta de Andalucía, por la que se resuelve la solicitud de renovación del concierto educativo con dicho centro docente privado, a partir del curso académico 2013-2014. Dicha orden denegaba el concierto educativo para el referido centro docente por no cumplir éste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Estando conclusas las actuaciones y señalado para votación y fallo el día 25 de junio de 2014, se dictó por la Sala providencia de 26 de junio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28 de julio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Junta de Andalucía, mediante escrito presentado el 11 de septiembre de 2014, consideró que procedía el planteamiento de la cuestión. La parte recurrente se opuso al planteamiento de la cuestión, mediante escrito presentado el 16 de septiembre. Mediante escrito de 19 de septiembre de 2014, sin pronunciarse sobre el fondo del asunto y atendiendo solo a los aspectos formales, el Ministerio Fiscal expresó la procedencia de plantear la cuestión., al estimar que el art. 17.8 de la Ley 17/2012, de 27 de diciembre, infringe el art. 81.1 CE, así como los arts. 9.2 y 3, 14, 66.2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2015, el Pleno del Tribunal Constitucional, a propuesta de la Sección Cuarta,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19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marzo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de la Ley Orgánica de educación; estos preceptos no tienen carácter orgánico, por lo que menos pueden tenerlo las previsiones dictadas en su desarrollo, que, tienen además un carácter temporal limitado al ejercicio 2013. El cuestionado art.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13 de marzo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