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7403-2014 promovida por la Sección Tercera de la Sala de lo Contencioso-Administrativo del Tribunal Superior de Justicia de Andalucía, con sede en Sevilla, en relación con el art. 17.8 de la Ley 17/2012, de 27 de diciembre, de presupuestos generales del Estado para el año 2013. Ha comparecido y formulado alegaciones el Abogado del Estado. Ha intervenido la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noviembre de 2014 tuvo entrada en el Registro General de este Tribunal escrito de la Sección Tercera de la Sala de lo Contencioso-Administrativo del Tribunal Superior de Justicia de Andalucía, con sede en Sevilla, al que se acompaña, junto con el testimonio del procedimiento correspondiente, el Auto de 12 de noviembre de 2014, en el que se acuerda plantear cuestión de inconstitucionalidad sobre el art. 17.8 de la Ley 17/2012, de 27 de diciembre, de presupuestos generales del Estado para el año 2013, por posible vulneración de los arts. 81.1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Ribamar, S.A., titular de un centro docente privado, interpuso recurso contencioso-administrativo contra la Orden de 27 de febrero de 2013, de la Consejería de Educación de la Junta de Andalucía, por la que fue resuelta la solicitud de renovación del concierto educativo con dicho centro docente privado, a partir del curso académico 2013-2014. Dicha orden denegaba el concierto educativo para el referido centro docente por no cumplir presuntamente este con lo establecido en el art. 84.3 de la Ley Orgánica 2/2006, de 3 de mayo, de educación (LOE), en lo que se refiere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contencioso-administrativo, interpuesto ante la Sala de lo Contencioso-Administrativo del Tribunal Superior de Justicia de Andalucía, con sede en Sevilla, se basaba, entre otros motivos de ilegalidad e inconstitucionalidad, en que la Administración había incumplido el mandato establecido en el art. 17.8 de la Ley 17/2012, de 27 de diciembre, que había entrado en vigor el 1 de enero de 2013. El Letrado de la Junta de Andalucía, en la contestación a la demanda, alegaba la inconstitucionalidad del citado artículo 17.8 por vulneración de la reserva de ley orgánica del art. 81 CE y por exceder del contenido admisible para una ley de presupuestos, con vulneración, además, del principio de igualdad de los arts. 9.3 y 14 CE; solicitaba, a su vez, el planteamiento de la cuestión de inconstitucionalidad para el caso de que la Sala estimase que dicho precepto legal es esencial para la resolución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Estando conclusas las actuaciones y señalado el asunto para votación y fallo, se dictó por la Sala providencia el día 8 de septiembre de 2014 dando plazo común de diez días a las partes y al Ministerio Fiscal, conforme a lo dispuesto en los arts. 5.2 de la Ley Orgánica del Poder Judicial y 35.2 de la Ley Orgánica del Tribunal Constitucional (LOTC), para que alegasen sobre la inconstitucionalidad en que podría incurrir el art. 17.8 de la Ley 17/2012, de 27 de diciembre, de cuya validez depende el fallo, por vulneración de los arts. 81.1 y 134.2 CE. Considera la providencia que, tras el dictado del precepto mencionado, la Administración no puede seguir aplicando la jurisprudencia recaída en interpretación de la Ley Orgánica de educación. Entiende que este precepto invade la reserva de ley orgánica y excede del contenido que la Constitución contempla para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Junta de Andalucía consideró que procedía el planteamiento de la cuestión, al estimar que el art. 17.8 de la Ley 17/2012, de 27 de diciembre, infringe el art. 81.1 CE, así como los arts. 9.3, 14, 66.2 y 134 CE. Mediante escrito de 30 de septiembre de 2014, sin pronunciarse sobre el fondo del asunto y atendiendo solo a los aspectos formales, el Ministerio Fiscal expresó la procedencia de plantear la cuestión. La representación procesal de la parte actora entendió que resultaba procedente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dictó Auto de 12 de noviembre de 2014, por el que acordó plantear cuestión de inconstitucionalidad respecto del art. 17.8 de la Ley 17/2012, de 27 de diciembre, de presupuestos generales del Estado para el año 2013, por posible vulneración de los arts. 81.1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razona que, tras la entrada en vigor de la Ley Orgánica de educación, resultaba conforme a derecho, de acuerdo con la jurisprudencia del Tribunal Supremo, que la Administración rechazase celebrar conciertos educativos con centros docentes privados donde no se escolarizaran alumnos de ambos sexos. El estado de la cuestión, prosigue, ha cambiado con la Ley 17/2012, cuyo artículo 17 relativo al “módulo económico de distribución de fondos públicos para sostenimiento de centros concertados” estableció, en su apartado ocho, que dicha norma es plenamente aplicable a la financiación de centros concertados, incluidos los de educación diferenciada que escolarizan alumnos de un solo sexo y ello con independencia del modelo de agrupamiento de alumnos que realicen los centros docentes en el ejercicio de sus competencias. De esta manera, si de acuerdo con la Ley Orgánica de educación los centros con educación diferenciada no podían acogerse a la financiación pública, tras la ley de presupuestos la regla es la contraria. Este precepto habría sido vulnerado por la resolución impugnada en el pleito principal, de modo que en su aplicación habría que dar razón a la recurrente en el proceso judicial. No obstante, expresa dos dudas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Relativa a la reserva de ley orgánica de la regulación de los aspectos esenciales de un derecho fundamental. Entiende el órgano judicial que no se había puesto en duda el sistema de la educación diferenciada hasta la entrada en vigor de la Ley Orgánica de educación, en cuyo art. 84.3 se prohíbe expresamente en el régimen de admisión de alumnos la discriminación por razón de sexo. Dicho precepto, conforme a la interpretación realizada por el Tribunal Supremo, comporta que la educación separada por sexos dejó de estar autorizada para los centros docentes sostenidos con fondos públicos. Asimismo, pone de relieve que, en la reforma de la Ley Orgánica de educación, se ha introducido en el artículo 84.3 lo siguiente: “No constituye discriminación la admisión de alumnos y alumnas o la organización de la enseñanza diferenciadas por sexos, siempre que la enseñanza que impartan se desarrolle conforme a lo dispuesto en el artículo 2 de la Convención relativa a la lucha contra las discriminaciones en la esfera de la enseñanza, aprobada por la Conferencia General de la UNESCO el 14 de diciembre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Relativa a los límites constitucionales de la Ley de presupuestos. La doctrina constitucional (STC 76/1992), establece los límites de las leyes de presupuestos, distinguiendo entre (i) el contenido necesario y (ii) el eventual, posible y no necesario, para el que se requiere la relación directa con los gastos e ingresos que integran el presupuesto o con los criterios de política económica de la que el presupuesto es instrumento. El precepto impugnado podría no cumplir los límites establecidos, en cuanto no contiene una previsión de gastos e ingresos; sería dudoso que, aun cuando pueda tener una relación directa con los ingresos o gastos del Estado, sea complemento necesario para su mejor inteligencia.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febrero de 2015, el Pleno del Tribunal Constitucional, a propuesta de la Sección Cuarta, acordó admitir a trámite la presente cuestión y, conforme a lo dispuesto en el art. 10.1 c) LOTC, deferir a la Sala Segunda el conocimiento de la misma;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esta resolución a la Sección Tercera de la Sala de lo Contencioso-Administrativo del Tribunal Superior de Andalucía, con sede en Sevilla,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el 18 de febrero de 2015, comunicó a este Tribunal que la Mesa de la Cámara adoptó el acuerdo de personarse en el proceso, ofreciendo su colaboración a los efectos del art. 88.1 LOTC. Lo mismo hizo el Presidente del Congreso de los Diputados por escrito que tuvo entrada en el Registro General de este Tribunal el día 19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marzo de 2015 se personó en el proceso el Abogado del Estado e interesó la desestimación de la cuestión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precisa que, a su juicio, la duda de constitucionalidad planteada se limita a la posible vulneración de los arts. 81.1 y 134.2 CE. A continuación, expone el sistema de conciertos educativos previsto en la Ley Orgánica de educación, señalando que dicha norma no establece prohibición expresa alguna sobre la financiación de centros privados que practiquen la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 la consideración de que el Auto de planteamiento de la cuestión solo desarrolla de manera mínima la vulneración del art. 81.1 CE. A su juicio, no puede sostenerse que el art. 17.8 de la Ley 17/2012 suponga una innovación normativa que afecte al núcleo esencial del derecho fundamental a la educación, conforme a la doctrina constitucional. En su opinión, el art. 17 de la Ley 17/2012 lo que hace es concretar, para el ejercicio 2013, las previsiones de los arts. 116 y siguientes LOE; estos preceptos no tienen carácter orgánico, por lo que menos pueden tenerlo las previsiones dictadas en su desarrollo, que tienen además un carácter temporal limitado al ejercicio 2013. El cuestionado artículo 17.8 establece una concreción necesaria del ámbito subjetivo de los conciertos para la aplicación de las previsiones presupuestarias. Si bien admite que el precepto se dicta en un momento en que la jurisprudencia del Tribunal Supremo entendió que los centros con educación diferenciada vulneraban el principio de igualdad en su vertiente relativa a la no discriminación por razón de sexo ex art. 84.3 LOE y no podían por ello ser beneficiarios de conciertos educativos, lo cierto es que la Ley Orgánica de educación no contenía una normativa expresa al respecto. En su opinión, el artículo 17.8 no introduce una previsión sustantiva contraria o diferente al art. 84.3 LOE, aunque lo interprete de una manera distinta a la del Tribunal Supremo. Esta diferente interpretación, al entender dentro del ámbito subjetivo de los conciertos los centros con educación diferenciada, no invade el ámbito de ley orgánica, en cuanto no supone el desarrollo del núcleo esencial del derecho a la educación. Finalmente, alega que la modificación de la Ley Orgánica de educación por la Ley Orgánica 8/2013, de 9 de diciembre, que precisa que no se puede entender por discriminación por razón de sexo la escuela diferenciada y afirma que los centros de educación diferenciada tienen derecho, si cumplen con las condiciones legales, a concierto para su financiación, sólo aclara o interpreta las previsiones de la redacción anterior del art. 84.3 LOE. Concluye que la previsión del art. 17.8 de la Ley 17/2012 no afecta a la reserva de ley orgánica, por lo que este motivo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rechaza, asimismo, que el precepto cuestionado vulnere el art. 134.2 CE, atendiendo a la doctrina constitucional sobre el contenido de la Ley de presupuestos. Partiendo de la misma, entiende que el artículo 17.8 integra el denominado “contenido eventual” de la Ley de presupuestos y no constituye una modificación sustantiva del ordenamiento jurídico. Tiene un carácter limitado en el ámbito temporal y tiene una conexión económica o presupuestaria evidente, que fundamenta en la remisión que el art. 117 LOE realiza a las leyes de presupuestos generales del Estado. La concreción del ámbito subjetivo de los centros beneficiarios de conciertos educativos es un elemento esencial para poder prever las habilitaciones presupuestarias. La incidencia en la ordenación del programa anual de gastos es necesaria y principal y por ello suficiente para legitimar su inclusión en la Ley de presupuestos. Se trata de una conexión con su objeto (habilitación de gastos) directa, inmediata y querida por la norma. La inclusión de los centros concertados en los módulos de concierto tiene relación con los estados de gasto de los presupuestos generales del Estado al tratar sobre la financiación de centros docentes concertados con cargo a los presupuestos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marzo de 2015 presentó sus alegaciones la Fiscal General del Estado,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 hecho de la cuestión, así como el contenido del art. 17 y de los anexos IV y V de la Ley 17/2012, de 27 de diciembre, y del propio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las cuestiones planteadas en el Auto, analiza la pervivencia del objeto, dado que las previsiones anteriormente citadas se limitaban al ejercicio presupuestario de 2013; llega a la conclusión de que, conforme a la doctrina de este Tribunal, no se ha producido la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considera, en primer lugar, que el art. 17.8 de la Ley 17/2012 no vulnera el art. 134. 2 CE, conforme a la doctrina constitucional. La regulación prevista en el citado precepto no puede ser escindida de su contexto, constituido no sólo por los números 1 a 7 del art. 17, sino también por los anexos IV y V de esa misma Ley. La norma cuestionada, en cuanto dispone que dicha regulación es plenamente aplicable a la financiación de todos los centros concertados, incluidos los de educación diferenciada que escolarizan alumnos de un solo sexo, no hace sino extender a estos una serie de disposiciones que obedecen sin ningún género de dudas al “contenido propio” o “núcleo esencial”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el precepto cuestionado tampoco vulnera el art. 81.1 CE. Partiendo de la doctrina establecida en la STC 86/1985, afirma que el art. 27.9 CE, ni enuncia un derecho fundamental a la prestación pública, ni encierra un derecho subjetivo a la misma. Si, además, tal prestación pública habrá de ser dispuesta por la Ley, parece obvio concluir que esta materia no forma parte esencial del derecho consagrado en el art. 27.9 CE; siendo esto así, resulta igualmente obvio que no existe un deber ex constitutione de regular tal materia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Sala de lo Contencioso-Administrativo del Tribunal Superior de Justicia de Andalucía, con sede en Sevilla, plantea cuestión de inconstitucionalidad sobre el art. 17.8 de la Ley 17/2012, de 27 de diciembre, de presupuestos generales del Estado para el año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de la citada Ley regula el módulo económico de distribución de fondos públicos para sostenimiento de centros concertados, en cumplimiento, conforme a su primer apartado, de lo dispuesto en el art. 117 de la Ley Orgánica 2/2006, de 3 de mayo, de educación (LOE). Este precepto determina que se fijará anualmente en los presupuestos generales del Estado el importe del módulo económico por unidad escolar, a efectos de distribución de la cuantía global de los fondos públicos destinados al sostenimiento de los centros privados concertados para hacer efectiva la gratuidad de las enseñanzas objeto de concierto. Asimismo, establece los diferentes conceptos que integran dicho módulo (salarios del personal docente, cantidades asignadas a otros gastos y cantidades para atender al pago de diferentes conceptos como los de antigüedad, sustituciones o ejercicio de la función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8 del art. 17 de la Ley 17/2012, objeto del presente proceso constitucional,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establecido en este artículo será plenamente aplicable a la financiación de todos los centros concertados incluidos los de educación diferenciada que escolarizan alumnos de un solo sexo, y ello, con independencia del modelo de agrupamiento de alumnos que realicen los centros docentes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entiende el órgano judicial que el art. 17.8 de la Ley 17/2012 podría vulnerar, tanto el art. 81.1 CE, pues está reservado a ley orgánica regular aspectos esenciales de un derecho fundamental, como el art. 134.2 CE, por no poder considerarse dicho párrafo contenido necesario ni eventual de la Ley de presupuestos, conforme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la Fiscal General del Estado interesan la desestimación de la cuestión, por entender que no concurren las vulneraciones constitucionales apreciadas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nuestra reciente STC 234/2015, de 5 de noviembre, hemos resuelto inadmitir una cuestión de inconstitucionalidad (núm. 6518-2014) idéntica a la presente, planteada por el mismo órgano judicial, por inadecuada formulación del juicio de relevancia (art. 35.1 de la Ley Orgánica del Tribunal Constitucional: LOTC). En consecuencia, por remisión a lo entonces razonado, la presente cuestión ha de correr igual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citada STC 234/2015, FJ 2, apreciamos que, en la explicación de la dependencia del fallo del proceso a quo sobre la validez constitucional de la norma cuestionada que realiza el órgano judicial, “no ha tenido en cuenta lo dispuesto en la disposición transitoria segunda de la Ley Orgánica 8/2013, de 9 de diciembre, para la mejora de la calidad educativa (LOMCE), en relación con la aplicación temporal de la redacción dada al art. 84.3 de la Ley Orgánica 2/2006, de 3 de mayo, de Educación (LOE), por el art. Único.71 LOMCE. Conforme a esta disposición transitoria ‘Los centros privados a los que en 2013 se les haya denegado la renovación del concierto educativo o reducido las unidades escolares concertadas por el único motivo de ofrecer educación diferenciada por sexos podrán solicitar que se les aplique lo indicado en el artículo 84.3 de esta Ley Orgánica para el resto del actual período de conciertos en el plazo de dos meses desde su entrada en vigor’. En relación con ello la nueva redacción del art. 84.3 LOE señala expresamente que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 Dado el tenor de tales preceptos, es claro que pudieran resultar directamente aplicables a un supuesto de hecho como el considerado en el caso a quo, cuyo objeto es una Orden autonómica de 27 de febrero de 2013, por la que se deniega la solicitud de renovación del concierto educativo con un centro docente privado, a partir del curso académico 2013-2014, precisamente por no cumplir con lo establecido en la redacción anterior del art. 84.3 LOE, en lo que se refiere a la no discriminación por razón de sexo al no comprometerse a escolarizar alumnado de ambos sexos. Pese a que la LOMCE entró en vigor a los veinte días de su publicación en el ‘Boletín Oficial del Estado’, que tuvo lugar el 10 de diciembre de 2013 y, por tanto, ya estaba vigente el 14 de octubre de 2014, momento en el que se acuerda plantear la cuestión dictando el correspondiente Auto, el órgano judicial no hace referencia alguna a este precepto en su argumentación, ni tampoco a las razones por las que, en su defecto, entiende que no es de aplicación al caso que ha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entendido que “dicha omisión condiciona ineludiblemente la valoración acerca de la adecuada formulación de los juicios de aplicabilidad y relevancia exigidos para el planteamiento de la cuestión de inconstitucionalidad por el art. 35 LOTC”. Ello porque “en el supuesto que consideramos, teniendo presente lo dispuesto por la LOMCE y el silencio del órgano judicial al respecto, no puede asegurarse, en este momento, que el pronunciamiento de este Tribunal acerca del art. 17.8 de la Ley 17/2012, de 27 de diciembre, objeto de la presente cuestión, fuera necesario e imprescindible para resolver el caso sometido a la consideración de la Sala cuestionante, de manera que el juicio de constitucionalidad que se nos solicita sobre el precepto podría quedar desconectado de su aplicación al proceso a quo. Es decir, se correría el riesgo de que el juicio a la ley se desarrollara ante este Tribunal sin necesidad ni pertinencia alguna, pues, realizado el enjuiciamiento y pronunciado el fallo que correspondiere, el proceso a quo podría concluir sin aplicar el precepto cuestionado y en atención a razones jurídicas ajenas a su conformidad o no a la Constitución. Ese sería el caso si el órgano judicial optase, una vez resuelta la cuestión, por aplicar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—concluimos en la STC 234/2015, FJ 2— “es indiscutible que el precepto cuestionado es aplicable para la resolución del pleito sometido a la consideración del órgano judicial, pero podría no ser el único relevante a la vista de lo regulado por la disposición transitoria segunda LOMCE en relación con el art. 84.3 LOE, reflexión que no aparece en el Auto de planteamiento, que guarda silencio respecto a la relación entre esta norma y la que ha cuestionado. Ausencia de argumentación que conlleva un evidente riesgo para el carácter concreto del control de constitucionalidad verificado mediante este tipo de procesos, ya que esa omisión implicaría que,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(STC 83/2015,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mismas razones expresadas en la STC 234/2015, FJ 2, procede acordar también la inadmisión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 núm. 7403-2014 promovida por Sección Tercera de la Sala de lo Contencioso-Administrativo del Tribunal Superior de Justicia de Andalucía, con sede en Sevilla.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