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5859-2014, promovido por don Verónica Diestro Villaplana, representada por la Procuradora de los Tribunales doña Gloria Llorente de la Torre y asistida por el Abogado don Raúl Tardío López, contra la Sentencia de 18 de junio de 2014 del Juzgado de lo Social núm. 1 de Badajoz, dictada en procedimiento ordinario núm. 220-2014. Ha intervenido el Ministerio Fiscal. Ha comparecido el Procurador de los Tribunales don Ramiro Reynolds Martínez, en representación del Excmo. Ayuntamiento de Santa Amalia (Badajoz), bajo la dirección letrada de don Antonio Prieto Benítez.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fecha 24 de septiembre de 2014 en la oficina de registro y reparto de asuntos civiles del Decanato de Madrid, y que tuvo entrada en este Tribunal el siguiente día 30, la Procuradora de los Tribunales doña Gloria Llorente de la Torre, actuando en nombre y representación de doña Verónica Diestro Villaplana, presentó recurso de amparo constitucional contra la Sentencia citada en el encabezamiento, al considerarla contraria al derecho fundamental consagrado en el art. 14 CE, segundo inciso, en su vertiente de prohibición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viene prestando sus servicios en régimen de contratación laboral en el Ayuntamiento de Santa Amalia (Badajoz), como enfermera en una residencia de mayores con turnos rotatorios de mañana y tarde. El día 10 de marzo de 2014 interesó una reducción de jornada de un 33 por 100 para atender a sus tres hijos menores, así como que se fijase la jornada en horario de mañana, de 9:00 a 13:30 horas, de lunes a viernes. Aducía que con tal horario podría llevar a sus hijos al colegio y a la guardería, así como recogerlos a la salida de éstos y encargarse de su cuidado el resto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por resolución de la Alcaldía de 13 de marzo de 2014, accedió a la reducción de la jornada solicitada, con proporcional minoración de su salario, pero indicó a la empleada que debía decidir y comunicar su concreción horaria en cada uno de los tres turnos de trabajo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señora Diestro presentó demanda de procedimiento ordinario reclamando la concreción horaria solicitada en el escrito que dirigió al Ayuntamiento el día 10 de marzo de 2014, con condena a éste a una indemnización por daños morales en razón del tratamiento discriminatorio que le impedía conciliar su vida familiar y laboral. Invocaba en su escrito de demanda los arts. 14 y 39 CE, además de normas legales y convencionales que estimaba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Social núm. 1 de Badajoz dictó la Sentencia desestimatoria recurrida en amparo, con el siguiente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consonancia con los principios de la ley Orgánica 3/2007 para la igualdad efectiva de mujeres y hombres, el art. 35,5 del E.T., reconoce el derecho a la reducción de jornada a quienes por razones de guarda legal, tengan a su cargo algún hijo o hijos menores en dicho año -o personas con discapacidad física o psíquica- con la disminución proporcional de su salario. La efectividad de este derecho, la concreción horaria, le corresponde efectuarla al trabajador pero dentro de su jornada ordinaria, (apartado 6 del citado art.), de tal modo que con base a este derecho pueda modificarse su jornada de trabajo en perjuicio de otros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actora, que presta sus servicios en un Centro Geriátrico como Enfermera, le ha sido reconocida la reducción de jornada, conforme solicitó, en un 33 por 100 pero lo que no es posible acceder a su pretensión en que le sea modificada su jornada de turnos, rotatorios de mañana y tarde a un turno fijo solo de mañana, por lo que procede, sin más, la íntegra desestimación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advertía a las partes, en la instrucción de recursos, de la posibilidad de interponer recurso de suplicación ante el Tribunal Superior de Justicia, que no fue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en amparo se ha vulnerado el art. 14 CE, en su vertiente de prohibición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razonar que no era posible recurrir en suplicación, de conformidad con lo dispuesto en el art. 139.l b) de la Ley 36/2011, de 10 de octubre, reguladora de la Jurisdicción Social, señala la demanda de amparo que el juzgador desestimó la pretensión deducida amparándose en lo dispuesto en el artículo 37.6 de la Ley del estatuto de los trabajadores (LET), obviando, por un lado, las necesidades familiares expuestas por la trabajadora, con tres hijos menores a su cargo y un turno rotatorio de trabajo que cumplir, y, por otro, el hecho de que el Ayuntamiento de Santa Amalia no aportara prueba alguna acreditativa de las distorsiones organizativas que pudiera haber ocasionado la pretensión deducida. La Sentencia impugnada, por ello, lesiona el derecho fundamental invocado, dado que no aplicó la jurisprudencia de este Tribunal en la materia, que exige el examen de la dimensión constitucional del derecho consagrado en el art. 37.5 LET (STC 3/2007,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interesa que, con declaración de vulneración del derecho fundamental del art. 14 CE, acordemos la nulidad de la sentencia recurrida, ordenando la retroacción de las actuaciones al momento anterior al dictado de la misma a fin de que el juzgador emita un nuevo pronunciamiento en el que valore las circunstancias concurrentes y la dimensión constitucional del derecho reclamado, o, en su defecto y subsidiariamente, que declaremos la inconstitucionalidad de la expresión “dentro de su jornada ordinaria”, contenida en el artículo 37.6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la Sala Segunda de este Tribunal, de 20 de julio de 2015, se acordó la admisión a trámite de la demanda de amparo. Habiéndose interesado con anterioridad la remisión de certificación de las actuaciones jurisdiccionales, en aplicación de lo dispuesto en el art. 51 de la Ley Orgánica del Tribunal Constitucional (LOTC), se solicitó al Juzgado de lo Social núm. 1 de Badajoz que procediera a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septiembre de 2015, el Procurador don Ramiro Reynolds Martínez solicitó que se le tuviera por personado en nombre y representación del Excmo. Ayuntamiento de Santa Amalia.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13 de octubre de 2015, se tuvo por recibido el anterior escrito del Procurador don Ramiro Reynolds Martínez, a quien se tuvo por personado y parte en la representación que ostenta, condicionado ello a que aportara en el plazo de diez días la escritura de poder original acreditativa de su representación. Se acordó, asimismo, abrir el plazo común de veinte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se ratificó en el contenido de su demanda, según consta en escrito de 27 de octubre de 2015, incorporando en este trámite la referencia a diversos estudios de la doctrina científica sobre la regulación legal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el día 3 de noviembre de 2015, interesando la inadmisión de la demanda, por falta de agotamiento de la vía previa [art. 44.1 a) LOTC], o el otorgamiento del amparo en su defecto, caso de rechazarse el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subrayando que, si bien no era susceptible de recurso de suplicación la sentencia aquí impugnada, la subsidiariedad del amparo hacía preceptiva la interposición de un incidente de nulidad de actuaciones, que no formalizó la demandante. De su lado, en cuanto al fondo del asunto, considera que el juzgador desestimó de una manera casi apodíctica la pretensión de la trabajadora, sin examinar las razones esgrimidas ni constatar dificultades organizativas para el empleador, que siendo una Administración pública debe velar particularmente contra comportamientos discriminatorios. En suma, no se ponderó la dimensión constitucional del asunto, esto es, ni la superior protección constitucional del derecho de la trabajadora a permanecer en su actividad profesional sin discriminación por razón de su maternidad, ni el mandato de protección a la familia y a la infancia reconocido en el texto constitucional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cuarta de la Sala Segunda de este Tribunal, de 10 de noviembre de 2015, se tuvo al Ayuntamiento de Santa Amalia por decaído en su derecho, al haber transcurrido el plazo conferido a su Procurador, en virtud de lo acordado en resolución de 13 de octubre de 2015, para la aportación de la escritura del poder original acreditativa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2016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cuestión de fondo del presente recurso de amparo, atinente a si fue vulnerado el derecho de la recurrente a la no discriminación por razón de sexo (art. 14 CE), no puede ser abordada al haberse planteado fuera del plazo previsto a tal efecto en el art. 44.2 de la Ley Orgánica del Tribunal Constitucional (LOTC). Concurre en la demanda, así pues, el defecto de extemporaneidad que el art. 50.1 a) LOTC prevé como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actuaciones (diligencia de ordenación del Secretario judicial de 22 de agosto de 2014) muestran que la Sentencia impugnada en amparo fue notificada a la representación del recurrente el día 9 de julio de 2014. Como la demanda de amparo se presentó en la oficina de registro y reparto de asuntos civiles del Decanato de Madrid el día 24 de septiembre de 2014, resulta que entre esta fecha y la siguiente a la notificación de la resolución judicial había transcurrido un número holgadamente mayor de días hábiles que el de 30 que constituye el plazo de caducidad para la interposición del recurso de amparo (que vencía, en concreto, el día 19 de septiembre de 2014 a las 15:00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oponerse a esta decisión de inadmisión que se adopte en este momento procesal, tras la inicial admisión de la demanda de amparo, y mediante Sentencia. Este Tribunal ha declarado en constante jurisprudencia que los defectos insubsanables de que pudiera estar afectado el recurso de amparo no resultan sanados porque el recurso haya sido inicialmente admitido a trámite, de forma que la comprobación de los presupuestos procesales para la viabilidad de la acción pueden abordarse o reconsiderarse en la Sentencia, de oficio o a instancia de parte, dando lugar a un pronunciamiento de inadmisión por la falta de tales presupuestos, sin que para ello constituya obstáculo el carácter tasado de los pronunciamientos previstos en el art. 53 LOTC (entre tantas otras, SSTC 53/1983, de 20 de junio, FJ 2, o 118/2014,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como dijera en su fundamento jurídico único la STC 159/1998, de 13 de julio, o más tarde y literalmente la STC 174/2007, de 23 de julio, también en su único fundamento, “las importantes razones de seguridad jurídica y de igualdad en la aplicación de la Ley que impone la exigencia del requisito de tempestividad (SSTC 159/1998, de 13 de julio; 204/2005, de 18 de julio, FJ 2), y que hacen que el plazo para acudir a esta jurisdicción de amparo sea de caducidad, improrrogable y no susceptible de suspensión, y, por consiguiente, de inexorable cumplimiento (por todas, STC 85/2004, de 10 de mayo, FJ 2)”, determinan que proceda acordar la inadmisión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