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15 de febrero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5859-2014, promovido por don Verónica Diestro Villaplana, representada por la Procuradora de los Tribunales doña Gloria Llorente de la Torre y asistida por el Abogado don Raúl Tardío López, contra la Sentencia de 18 de junio de 2014 del Juzgado de lo Social núm. 1 de Badajoz, dictada en procedimiento ordinario núm. 220-2014. Ha intervenido el Ministerio Fiscal. Ha comparecido el Procurador de los Tribunales don Ramiro Reynolds Martínez, en representación del Excmo. Ayuntamiento de Santa Amalia (Badajoz), bajo la dirección letrada de don Antonio Prieto Benítez.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fecha 24 de septiembre de 2014 en la oficina de registro y reparto de asuntos civiles del Decanato de Madrid, y que tuvo entrada en este Tribunal el siguiente día 30, la Procuradora de los Tribunales doña Gloria Llorente de la Torre, actuando en nombre y representación de doña Verónica Diestro Villaplana, presentó recurso de amparo constitucional contra la Sentencia citada en el encabezamiento, al considerarla contraria al derecho fundamental consagrado en el art. 14 CE, segundo inciso, en su vertiente de prohibición de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viene prestando sus servicios en régimen de contratación laboral en el Ayuntamiento de Santa Amalia (Badajoz), como enfermera en una residencia de mayores con turnos rotatorios de mañana y tarde. El día 10 de marzo de 2014 interesó una reducción de jornada de un 33 por 100 para atender a sus tres hijos menores, así como que se fijase la jornada en horario de mañana, de 9:00 a 13:30 horas, de lunes a viernes. Aducía que con tal horario podría llevar a sus hijos al colegio y a la guardería, así como recogerlos a la salida de éstos y encargarse de su cuidado el resto del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Ayuntamiento, por resolución de la Alcaldía de 13 de marzo de 2014, accedió a la reducción de la jornada solicitada, con proporcional minoración de su salario, pero indicó a la empleada que debía decidir y comunicar su concreción horaria en cada uno de los tres turnos de trabajo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señora Diestro presentó demanda de procedimiento ordinario reclamando la concreción horaria solicitada en el escrito que dirigió al Ayuntamiento el día 10 de marzo de 2014, con condena a éste a una indemnización por daños morales en razón del tratamiento discriminatorio que le impedía conciliar su vida familiar y laboral. Invocaba en su escrito de demanda los arts. 14 y 39 CE, además de normas legales y convencionales que estimaba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lo Social núm. 1 de Badajoz dictó la Sentencia desestimatoria recurrida en amparo, con el siguiente fundamento de Derecho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consonancia con los principios de la ley Orgánica 3/2007 para la igualdad efectiva de mujeres y hombres, el art. 35,5 del E.T., reconoce el derecho a la reducción de jornada a quienes por razones de guarda legal, tengan a su cargo algún hijo o hijos menores en dicho año -o personas con discapacidad física o psíquica- con la disminución proporcional de su salario. La efectividad de este derecho, la concreción horaria, le corresponde efectuarla al trabajador pero dentro de su jornada ordinaria, (apartado 6 del citado art.), de tal modo que con base a este derecho pueda modificarse su jornada de trabajo en perjuicio de otros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actora, que presta sus servicios en un Centro Geriátrico como Enfermera, le ha sido reconocida la reducción de jornada, conforme solicitó, en un 33 por 100 pero lo que no es posible acceder a su pretensión en que le sea modificada su jornada de turnos, rotatorios de mañana y tarde a un turno fijo solo de mañana, por lo que procede, sin más, la íntegra desestimación de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advertía a las partes, en la instrucción de recursos, de la posibilidad de interponer recurso de suplicación ante el Tribunal Superior de Justicia, que no fue formalizado.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juicio de la recurrente en amparo se ha vulnerado el art. 14 CE, en su vertiente de prohibición de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razonar que no era posible recurrir en suplicación, de conformidad con lo dispuesto en el art. 139.l b) de la Ley 36/2011, de 10 de octubre, reguladora de la Jurisdicción Social, señala la demanda de amparo que el juzgador desestimó la pretensión deducida amparándose en lo dispuesto en el artículo 37.6 de la Ley del estatuto de los trabajadores (LET), obviando, por un lado, las necesidades familiares expuestas por la trabajadora, con tres hijos menores a su cargo y un turno rotatorio de trabajo que cumplir, y, por otro, el hecho de que el Ayuntamiento de Santa Amalia no aportara prueba alguna acreditativa de las distorsiones organizativas que pudiera haber ocasionado la pretensión deducida. La Sentencia impugnada, por ello, lesiona el derecho fundamental invocado, dado que no aplicó la jurisprudencia de este Tribunal en la materia, que exige el examen de la dimensión constitucional del derecho consagrado en el art. 37.5 LET (STC 3/2007, de 15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interesa que, con declaración de vulneración del derecho fundamental del art. 14 CE, acordemos la nulidad de la sentencia recurrida, ordenando la retroacción de las actuaciones al momento anterior al dictado de la misma a fin de que el juzgador emita un nuevo pronunciamiento en el que valore las circunstancias concurrentes y la dimensión constitucional del derecho reclamado, o, en su defecto y subsidiariamente, que declaremos la inconstitucionalidad de la expresión “dentro de su jornada ordinaria”, contenida en el artículo 37.6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la Sección Cuarta de la Sala Segunda de este Tribunal, de 20 de julio de 2015, se acordó la admisión a trámite de la demanda de amparo. Habiéndose interesado con anterioridad la remisión de certificación de las actuaciones jurisdiccionales, en aplicación de lo dispuesto en el art. 51 de la Ley Orgánica del Tribunal Constitucional (LOTC), se solicitó al Juzgado de lo Social núm. 1 de Badajoz que procediera a la práctica de los emplazamientos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22 de septiembre de 2015, el Procurador don Ramiro Reynolds Martínez solicitó que se le tuviera por personado en nombre y representación del Excmo. Ayuntamiento de Santa Amalia.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Segunda de este Tribunal, de 13 de octubre de 2015, se tuvo por recibido el anterior escrito del Procurador don Ramiro Reynolds Martínez, a quien se tuvo por personado y parte en la representación que ostenta, condicionado ello a que aportara en el plazo de diez días la escritura de poder original acreditativa de su representación. Se acordó, asimismo, abrir el plazo común de veinte días al Ministerio Fiscal y a las partes personadas, de conformidad con el art. 52.1 LOTC, para que pudieran presentar las alegaciones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demandante de amparo se ratificó en el contenido de su demanda, según consta en escrito de 27 de octubre de 2015, incorporando en este trámite la referencia a diversos estudios de la doctrina científica sobre la regulación legal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presentó su escrito el día 3 de noviembre de 2015, interesando la inadmisión de la demanda, por falta de agotamiento de la vía previa [art. 44.1 a) LOTC], o el otorgamiento del amparo en su defecto, caso de rechazarse el óbice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argumentación subrayando que, si bien no era susceptible de recurso de suplicación la sentencia aquí impugnada, la subsidiariedad del amparo hacía preceptiva la interposición de un incidente de nulidad de actuaciones, que no formalizó la demandante. De su lado, en cuanto al fondo del asunto, considera que el juzgador desestimó de una manera casi apodíctica la pretensión de la trabajadora, sin examinar las razones esgrimidas ni constatar dificultades organizativas para el empleador, que siendo una Administración pública debe velar particularmente contra comportamientos discriminatorios. En suma, no se ponderó la dimensión constitucional del asunto, esto es, ni la superior protección constitucional del derecho de la trabajadora a permanecer en su actividad profesional sin discriminación por razón de su maternidad, ni el mandato de protección a la familia y a la infancia reconocido en el texto constitucional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la Sección cuarta de la Sala Segunda de este Tribunal, de 10 de noviembre de 2015, se tuvo al Ayuntamiento de Santa Amalia por decaído en su derecho, al haber transcurrido el plazo conferido a su Procurador, en virtud de lo acordado en resolución de 13 de octubre de 2015, para la aportación de la escritura del poder original acreditativa de la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11 de febrero de 2016 se señaló para la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cuestión de fondo del presente recurso de amparo, atinente a si fue vulnerado el derecho de la recurrente a la no discriminación por razón de sexo (art. 14 CE), no puede ser abordada al haberse planteado fuera del plazo previsto a tal efecto en el art. 44.2 de la Ley Orgánica del Tribunal Constitucional (LOTC). Concurre en la demanda, así pues, el defecto de extemporaneidad que el art. 50.1 a) LOTC prevé como causa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las actuaciones (diligencia de ordenación del Secretario judicial de 22 de agosto de 2014) muestran que la Sentencia impugnada en amparo fue notificada a la representación del recurrente el día 9 de julio de 2014. Como la demanda de amparo se presentó en la oficina de registro y reparto de asuntos civiles del Decanato de Madrid el día 24 de septiembre de 2014, resulta que entre esta fecha y la siguiente a la notificación de la resolución judicial había transcurrido un número holgadamente mayor de días hábiles que el de 30 que constituye el plazo de caducidad para la interposición del recurso de amparo (que vencía, en concreto, el día 19 de septiembre de 2014 a las 15:00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oponerse a esta decisión de inadmisión que se adopte en este momento procesal, tras la inicial admisión de la demanda de amparo, y mediante Sentencia. Este Tribunal ha declarado en constante jurisprudencia que los defectos insubsanables de que pudiera estar afectado el recurso de amparo no resultan sanados porque el recurso haya sido inicialmente admitido a trámite, de forma que la comprobación de los presupuestos procesales para la viabilidad de la acción pueden abordarse o reconsiderarse en la Sentencia, de oficio o a instancia de parte, dando lugar a un pronunciamiento de inadmisión por la falta de tales presupuestos, sin que para ello constituya obstáculo el carácter tasado de los pronunciamientos previstos en el art. 53 LOTC (entre tantas otras, SSTC 53/1983, de 20 de junio, FJ 2, o 118/2014, de 8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como dijera en su fundamento jurídico único la STC 159/1998, de 13 de julio, o más tarde y literalmente la STC 174/2007, de 23 de julio, también en su único fundamento, “las importantes razones de seguridad jurídica y de igualdad en la aplicación de la Ley que impone la exigencia del requisito de tempestividad (SSTC 159/1998, de 13 de julio; 204/2005, de 18 de julio, FJ 2), y que hacen que el plazo para acudir a esta jurisdicción de amparo sea de caducidad, improrrogable y no susceptible de suspensión, y, por consiguiente, de inexorable cumplimiento (por todas, STC 85/2004, de 10 de mayo, FJ 2)”, determinan que proceda acordar la inadmisión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