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julio de 2014, el Procurador de los Tribunales don Antonio Ortega Fuentes, en nombre y representación de don Christopher Frank Carandini Lee, y bajo la dirección de los Letrados don Andrés Reina Agero y don Alejandro Jiménez Miles, interpuso recurso de amparo contra el Auto del Juzgado de lo Mercantil núm. 1 de Burgos de 3 de junio de 2014, que desestima el incidente de nulidad de actuaciones interpuesto contra el Auto de 26 de octubre de 2009, recaído en el procedimiento de ejecución de títulos judiciales núm. 695-2009, en que se acordaba despachar ejecución, entre otros extremos, por la cantidad de 710.000 € a cuyo pago había sido condenado solidariamente el recurrente por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parcial de la resolución judicial impugnada en lo relativo al demandante de amparo, argumentando que su ejecución produce un perjuicio irreparable por la elevada cuantía de la cantidad a abonar y la avanzada edad del recurrente y la inexistencia de perjuicios para la contraparte, ya que dicha cantidad lo era para el abono de un lucro cesante y la suspensión se pide solo de manera parcial en relación con uno de los obligados al pago. Para el caso en que se acepte la suspensión se hace ofrecimiento de constituir fianza de por la cantidad de 3.000 €.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Secretaria de Justicia de la Sección Primera de este Tribunal, mediante diligencia de ordenación de 1 de julio de 2015, tuvo por sustituida procesalmente a doña Birgit Lee respecto del recurrente, con motivo de su fallecimiento.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Primera de este Tribunal, por providencia de 30 de noviembre de 2015, acordó la admisión a trámite de la demanda de amparo y la formación de pieza separada para la tramitación del incidente sobre la suspensión solicitada. La Sección Primera de este Tribunal, por providencia de 30 de noviembre de 2015, acordó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16 de diciembre de 2015, presentó alegaciones en las que, enunciando la jurisprudencia de este Tribunal sobre el particular, interesó que se denegara la suspensión, argumentando que, a pesar de la alta cuantía de la cantidad reclamada, en ningún momento se ha justificado el carácter irreversible del perjuicio ni se razona en qué forma su abono le ocasionaría un grave quebranto en atención a su situación económico-financiera. También, se pone de manifiesto que el resto de circunstancias alegadas en la demanda no resultan relevantes para apreciar la irreparabilidad del perjuicio, como presupuesto material esencial para conceder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por sucesión procesal, por escrito registrado el 9 de diciembre de 2015, presentó alegaciones reiterando íntegramente lo expuesto en su demanda de amparo, incluyendo la circunstancia de que sigue concurriendo, al igual que en el demandante originario, una avanzada edad en su viuda. También se refiere en el escrito al “hecho evidente de que en la sucesión de la parte fallecida ha de estarse a lo que resulte del proceso sucesorio que se insta por los familiares del fallecido en el Reino Unido y conforme a la legislación nacional que le es de aplicación”.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Por su parte, el artículo 56.3 establece que se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adopción de medidas cautelares en el procedimiento de amparo, este Tribunal ha declarado que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81/2012, de 7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solo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(ATC 81/2012, de 7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fallo de la resolución impugnada respecto del que se pide la suspensión es exclusivamente de carácter económico. Por tanto, conforme a la jurisprudencia constitucional ya reseñada, solo la concurrencia de excepcionales circunstancias vinculadas a la irreparabilidad de los perjuicios económicos que se pudieran irrogar con la ejecución y su debida acreditación justificaría una decisión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sin embargo, tal como destaca el Ministerio Fiscal en su informe, más allá del hecho objetivo de la alta cuantía de la cantidad a abonar, no se ha desarrollado ni el más mínimo esfuerzo argumental para poner de manifiesto a este Tribunal cómo repercutiría su ejecución en el patrimonio del obligado al pago. Esa situación de indeterminación de los eventuales perjuicios se ve ahora agravada, incluso, con la circunstancia puesta de manifiesto por la sucesora procesal en su escrito de alegaciones de que no están determinados los herederos del recurrente por no haber finalizado el proceso sucesorio seguido al efecto en el Reino Unido y, por tanto, que ni siquiera están determinados subjetivamente los obligados al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concretas circunstancias en que resultan indeterminados los perjuicios alegados y, propiamente, también resulta indeterminada la concreta persona o personas respecto de las que debería predicarse la irreparabilidad de un eventual perjuicio, este Tribunal no puede acceder a la suspensión solicitada por insuficiente acreditación de la concurrencia de sus presupuestos materiales.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