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febrero de 2015 tuvo entrada en el Registro General de este Tribunal un oficio de la Sección Segunda de la Sala de lo Contencioso-Administrativo del Tribunal Superior de Justicia de Castilla-La Mancha, al que se acompaña, junto al testimonio del procedimiento ordinario núm. 117-2011, el Auto de 3 de diciembre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persona física, propietaria de una finca afectada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 finca, que se encontraban en situación de rústica.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la Sección Segunda de la Sala de lo Contencioso-Administrativo del Tribunal Superior de Justicia de Castilla-La Mancha dictó providencia de 17 de octubre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los arts. 14 y 33.3 CE en cuanto se permite al resto de los propietarios realizar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prima facie,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consideró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3 de diciembre de 2014,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contra Reino Unido—, 9 de diciembre de 1994 —caso de los Santos Monasterios Griegos contra Grecia—, 4 de agosto de 2009 —caso Perdigao contra Portugal—, 4 de noviembre de 2010, 9 de octubre de 2003, o 26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2015, la Sección Primera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23.1 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ha se ha pronunciado el Tribunal en un supuesto idéntico en la STC 244/2015,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