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ba auto de la Sala de lo Contencioso-Administrativo del Tribunal Supremo en recurso de casación 6137-2010, contra la Sentencia dictada por la Audiencia Nacional en recurso 265-2008. El recurso fue inadmitido por providencia de 26 de septiembre de 2012, formulándose solicitud de declaración de funcionamiento anormal en 18 de noviem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febrero de 2016,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6 de junio de 2011, resolución impugnada en el presente recurso de amparo número 376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6 de junio de 2011, en el recurso de casación núm. 6137-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76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