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29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septiembre de 2015, la Procuradora de los Tribunales doña María Dolores Arcos Gómez, en nombre y representación de don Silvestre Cano Valero, interpuso recurso de amparo contra el Auto de 24 de julio de 2015 de la Sección Tercera de la Audiencia Provincial de Almería, desestimatorio del incidente de nulidad de actuaciones promovido contra la Sentencia de la Sección Tercera de la Audiencia Provincial de Almería de fecha 29 de abril de 2015, dictada en rollo de apelación 188-2015, en la que se desestimaba el recurso de apelación interpuesto contra la Sentencia de 18 de diciembre de 2013, dictada por el Juzgado de lo Penal núm. 5 de Almería, juicio oral 319-2014. En ella se condenó al demandante de amparo como autor de un delito de apropiación indebida de los arts. 252 y 249 del Código penal, con la circunstancia atenuante de dilaciones indebidas del art. 21.6 del Código penal, a la pena de un año de prisión, inhabilitación especial para ejercer el derecho de sufragio pasivo durante la condena, así como al pago de las costas procesales y a indemnizar en 13.500 € a don Enrique Ángel Romero Álvarez con los correspondientes intereses legales, cantidad de la que responderá subsidiariamente la mercantil Procava Antas, S.L.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solicitaba por otrosí, ex art. 56 de la Ley Orgánica del Tribunal Constitucional, la suspensión de la ejecución de la pena de un año de prisión impuesta al demandante de amparo, por cuanto podría causar un perjuicio tal que haría perder la finalidad del presente recurso de amparo, sin que dicha suspensión ocasione perturbación grave a ningún derecho constitucionalmente protegido, y por concurrir una apariencia de buen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2 de febrero de 2016, y tras admitir el recurso por providencia fechada en el mismo día, acordó la formación de pieza separada para la tramitación del incidente sobre la suspensión solicitada y asimismo, conceder a la parte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parte recurrente presentó escrito de alegaciones con fecha 8 de febrero de 2016 en el que reitera la petición de suspensión con fundamento en que la pena impuesta es de un año de prisión, y que se perdería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en este Tribunal el 10 de febrero de 2016, presentó alegaciones solicitando que se conceda la suspensión de la pena privativa de libertad, puesto que suspender la ejecución no ocasionaría una lesión específica y grave del interés general, más allá de la genérica que de por sí produce la no ejecución de un fallo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en relación a la suspensión de las penas de prisión, se ha venido utilizando como criterio de ponderación prioritario el de gravedad de la pena, aplicando de forma reiterada como directriz inicial la de que la pena se sitúe por encima o por debajo de la frontera de los cinco años de prisión (AATC 16/2009. de 26 de enero, 18/2011, de 28 de febrero, FJ 2, y 61/2013, de 27 de febrero, FJ 2), que es la que le sirve al legislador penal para diferenciar entre las penas graves y las menos graves, art. 33 del Código penal (ATC 44/2012, de 12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este criterio, el Tribunal ha venido ponderando otras circunstancias relevantes, tales como, significativamente,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(por todos AATC 469/2007, de 17 de diciembre, FJ 2; 16/2008, de 21 de enero, FJ 1, y 172/2008, de 23 de junio, FJ 2), circunstancias todas ellas “que expresan la reprobación que el Ordenamiento asigna al hecho delictivo y, por consiguiente, la magnitud del interés general en su ejecución” (por todos,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de acuerdo con las tesis del Ministerio Fiscal, concurren los requisitos que nuestra doctrina exige para otorgar la suspensión de la ejecución en cuanto a la pena privativa de libertad, por cuanto la duración de la pena impuesta —un año de prisión— permite afirmar que su ejecución puede ocasionar al demandante perjuicios irreparables que harían perder su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ello procedente decretar la suspensión cautelar de la pena privativa de libertad impuesta en atención a su corta duración, tratando así de prevenir que la previsible duración de este amparo pudiera conllevar la inefectividad de un eventual pronunciamiento estimatorio de la demanda de amparo, y, conforme a la regla de accesorium sequitur principale, igual suspensión deberá extenderse a la privación del derecho de sufragio pasivo (art. 44 del Código penal) aneja a la privativa de libertad suspensa (por todos ATC 291/2014, de 1 de diciembre).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pena privativa de libertad de un año de prisión, y accesoria de privación del derecho de sufragio pasivo durante el tiempo de la condena, impuesta al recurrente en Sentencia núm. 635/2013, de 18 de diciembre, del Juzgado de lo Penal núm. 5 de Almería, confirmada en apelación por la dictada por la Sección Tercera de la Audiencia Provincial de Almería, de 29 de abril de 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