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noviembre de 2014, el Procurador de los Tribunales don Ramiro Reynolds Martínez, en nombre y representación de don Eugenio Ares González, y bajo la dirección de la Letrada doña María del Carmen Muñoz López, presentó demanda de amparo contra el Auto de la Sección Segunda de la Sala de lo Contencioso-Administrativo del Tribunal Superior de Justicia del País Vasco de 2 de octubre de 2014, por el que se desestima el incidente de nulidad de actuaciones formulado contra la Sentencia de 20 de junio de 2014 por la que se desestima el recurso contencioso-administrativo núm. 896-2012 interpuesto contra el acuerdo del Tribunal Económico Administrativo Foral de Gipuzkoa de 25 de julio de 2012 sobre reclamación contra liquidación provisional por el impuesto sobre la renta de las personas físicas correspondiente al ejercicio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invoca el derecho a la tutela judicial efectiva (art. 24.1 CE), con fundamento en que se había denegado sin motivación válida los motivos de inconstitucionalidad alegados en relación con el art. 26.2 de la Norma Foral de Gipuzkoa 8/1998 y art. 30.2 de la Norma Foral de Gipuzkoa 10/2006; y el principio de igualdad en la aplicación de la ley (art. 14 CE), con fundamento en que la Administración tributaria está dispensando un tratamiento discriminatorio a algunos transportistas autónomos de mercancías por carretera a los que no se les permite acogerse al sistema de estimación objetiva.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2 de diciembre de 2015, acordó no admitir el recurso a trámite, con arreglo a lo previsto en el art. 50.1 a) de la Ley Orgánica del Tribunal Constitucional (LOTC),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14 de enero de 2016, interpuso recurso de súplica contra dicha providencia, alegando que por providencia de la Sala Segunda del Tribunal Constitucional se había admitido a trámite la demanda de amparo núm. 1388-2014 sustancialmente igual a la presente y que había sido informado por el Ministerio Fiscal solicitando el otorgamiento del amparo, por lo que procede estimar el recurso de súplica dejando sin efecto la providencia de inadmisión recaída, para que sea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Primera de este Tribunal, por diligencia de ordenación de 15 de enero de 2016, acordó dar traslado del recurso de súplica para alegaciones al demandante, quien, mediante escrito registrado el 25 de enero de 2016, se adhirió al recurso formulado, abundando en los argumentos por los que considera vulnerados los derechos invocados.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sustenta su recurso de súplica en la identidad sustancial de la presente demanda, que ha sido inadmitida por la providencia recurrida, y la registrada con el núm. 1388-2014 que, sin embargo, ha sido admitida a trámite, emitiendo el Ministerio Fiscal en dicho proceso constitucional informe favorable a su estimación. Este mismo recurso de súplica ha sido formulado en relación con sendas providencias de inadmisión en los recursos de amparo 7093-2014, 1809-2015 y 1826-2015.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hecho de que el recurso de amparo núm. 1388-2014, a cuya pretendida identidad sustancial se aludía por el Ministerio Fiscal para fundamentar su recurso de súplica, haya sido íntegramente desestimado por la STC 3/2016, de 18 de enero, por no apreciarse la lesión de ninguno de los derechos invocados en aquella demanda, resulta suficiente, por la pérdida de cualquier efecto útil, para la desestimación de este recurso de súplica y la consiguiente confirmación de la decisión de inadmisión impugnada por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 ello, una vez que la Sección Segunda de este Tribunal, mediante Auto de 4 de febrero de 2016, dictado en el recurso de amparo núm. 7093-2014, ya ha desestimado el recurso de súplica del Ministerio Fiscal interpuesto en aquel caso con idéntico fundamento que en el presente, también resulta necesario remitirse a los razonamientos expuestos en dicha resolución para negar la existencia de la identidad sustancial alegada. En ese Auto ya se señala la singularidad de los razonamientos judiciales sustentados en la resolución judicial que dio lugar al recurso de amparo núm. 1388-2014, frente a los que se mantenían en la resolución judicial que ha dado lugar al presente recurso, poniendo de manifiesto que en aquel caso el órgano judicial se atribuye la posibilidad de enjuiciar la constitucionalidad de la Norma Foral impugnada, indicando en su fundamento jurídico quinto: “la improcedencia de plantear cuestión de inconstitucionalidad, cuestión prejudicial ante el Tribunal Constitucional, como consecuencia de las reformas introducidas por la Ley Orgánica 1/2010, de 19 de febrero en la Ley Orgánica del Tribunal Constitucional, en la Ley Orgánica del Poder Judicial y en la Ley de la jurisdicción contencioso-administrativa, lo que lleva a ratificar que esta Sala mantiene la competencia para conocer la impugnación indirecta de la Norma Foral de IPRF (sic) por estar ante un recurso no solo interpuesto con anterioridad a la entrada en vigor de la Ley Orgánica 1/2010, a los veinte días de su publicación, en el “Boletín Oficial del Estado” el 20 de febrero de 2010, sino también con anterioridad a la formalización de la demanda en la que se formalizó la impugnación indirecta ... por lo que ratificamos la competencia de la Sala para conocer la impugnación indirecta de la Norma Foral”'.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 de diciembre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