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noviembre de 2015 entró en el Registro General de este Tribunal un escrito de la Sección Segunda de la Sala de lo Contencioso-Administrativo del Tribunal Superior de Justicia de Galicia, al que se acompaña, junto al testimonio del recurso ordinario 4490-2011,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9 de marzo de 2011. En consecuencia, resultaba vigente la ordenación del plan general de ordenación municipal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J.V.G.C., ejercitando la acción pública urbanística prevista en la disposición adicional cuarta de la Ley 9/2002, impugna dicho Decreto 187/2011. Su argumento principal es que el Decreto impugnado persigue en realidad mantener la regulación urbanística del plan general de ordenación de 2003 recientemente anulado, para lo que no da cobertura normativa el art. 96 de la Ley 9/2002, aparte de que de este modo se estaría impidiendo la eficacia de los fallos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4490-2011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in fine, que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STS de 5 de febrero de 2014 fue aportada por la parte actora a los recursos ordinarios 4522-2011 y 4523-2011, que también se dirigían contra el Decreto 187/2011 y que han dado lugar a las cuestiones de inconstitucionalidad 6539-2015 y 6576-2015.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en la que afirma que “procede someter a la consideración de las partes y del Ministerio Fiscal, por un plazo común de 10 días, la posible concurrencia de motivo susceptible de fundar el planteamiento de cuestión de inconstitucionalidad respecto del art. 96 de la Ley 9/2002. El presente recurso contencioso-administrativo se dirige contra el Decreto 184/2011 (sic), de 29 de septiembre, de la Consellería de Medio Ambiente, Territorio e Infraestructuras, que acordó suspender parcialmente la vigencia del plan general de ordenación de Ourense de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cabría plantear la inconstitucionalidad de dicho art. 96 de la Ley 9/2002, por considerarlo contrario a los referidos preceptos constitucionales y a los arts. 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 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 apartado “Fundamentos de Derecho” dice: “Único. Tal y como se apuntaba en la referida providencia, el presente recurso contencioso administrativo se dirige contra el Decreto 187/2011, de 29 de septiembre, de la Consellería de Medio Ambiente, Territorio e Infraestructuras, que acordó suspender parcialmente la vigencia del plan general de ordenación municipal de Ourense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 Contencioso-Administrativo del Tribunal Supremo, de 5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artículo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registrado el 29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la STC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del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vulnere lo dispuesto en los arts. 9.2 y 105 a) CE, así como que,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de las razones detalladas en los antecedentes, entiende que la cuestión es notoriamente infundada, como ya se ha declarado en el ATC 23/2016, de 3 de febrero.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resolución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que ha quedado transcrito íntegramente en sus fundamentos de derecho, se limita a citar los preceptos constitucionales que se consideran infringidos por el precepto legal cuestionado, sin exteriorizar de ningún modo el razonamiento que le lleva a esa conclusión. En estas circunstancias queda claro que el órgano judicial no ha colaborado con la justicia del Tribunal mediante un pormenorizado análisis de las graves cuestiones que se suscitan, lo que resulta obligado cuando se trata de instar la depuración del ordenamiento jurídico y, por ello, justificaría la inadmisión de esta cuestión de inconstitucionalidad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Auto se limita a afirmar que “el legislador autonómico optó por omitir la exigencia de información pública en el procedimiento de aprobación de la normativa provisional, omisión que según la referida sentencia del Tribunal Supremo incurre en la infracción de los arts. 9.2 y 105 a) CE”. El Auto no realiza, ni siquiera de modo esquemático o aproximativo, ningún análisis del contenido de los arts. 9.2 y 105 a) CE y mucho menos contrasta ese contenido con la regulación autonómica cuestionada. Se limita a decir que tal contradicción ha sido declarada por la Sentencia de la Sala de lo Contencioso-Administrativo del Tribunal Supremo de 5 de febrero de 2014. Es importante destacar que la duda de constitucionalidad que da lugar a que el Tribunal Constitucional se pronuncie en este cauce procesal ha de ser necesariamente del órgano judicial, explicitada por él y no por remisión a lo que digan las partes u otros órganos judiciales (ATC 95/2004,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por lo que hace a la otra duda de constitucionalidad, y en este sentido se expresan las alegaciones de la Fiscal General del Estado, omite la consideración de elementos fundamentales que inciden en su duda de constitucionalidad. Se limita a decir que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 149.1.1, 13, 18 y 23 CE en relación con el art. 11.1 del texto refundido de la Ley de suelo estatal”. Como se ve, no desarrolla para nada cuál es el contenido y alcance de estos preceptos constitucionales, ni por tanto en qué medida el art. 11.1 del texto refundido de la Ley de suelo encuentra cobertura en ellos. Y, aun más importante, se limita a afirmar que el art. 96 de la Ley 9/2002 es contrario al art. 11.1 del texto refundido de la Ley de suelo, sin profundizar en por qué, lo que es especialmente grave a la luz de las alegaciones formuladas por las partes al evacuar el trámite de audiencia ex art. 35.2 LOTC, que razonan sobre si existe contradicción efectiva e insalvable por vía interpretativa entre dichos preceptos legales, resultando esta cuestión realmente controvertida. A pesar de la argumentación vertida en dichos escritos de alegaciones, el órgano judicial se limita en el Auto de planteamiento a reiterar literalmente el contenido de la providencia por la que abrió el trámite de audiencia, sin desarrollar ningún esfuerzo argumental para levantar la carga de fundar la inconstitucionalidad que sostiene.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del sueo,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 y expresamente indicamos en el ATC 23/2016,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Llegados a la conclusión de que el art. 96 de la Ley 9/2002 no impide que, en aplicación de la disposición estatal básica reseñada, se confiera a los afectados por la ordenación provisional, durante la elaboración de ésta, un trámite de información pública, este precepto no resulta en absoluto contrario a los arts. 9.2 y 105 a) CE, por lo que esta segunda duda de constitucionalidad debe seguir la misma suerte que la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6541-2015,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