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146</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julio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mayo de 2016 tuvo entrada en este Tribunal un escrito de la Sección Primera de la Audiencia Provincial de Almería al que se acompaña, junto con el testimonio del rollo de apelación 304-2015 de esa Sección y de los autos de ejecución hipotecaria 110-2009 del Juzgado de Primera Instancia e Instrucción núm. 2 de Roquetas de Mar, el Auto de 11 de abril de 2016 por el que se acuerda plantear cuestión de inconstitucionalidad en relación con el art. 2 de la Ley 1/2013, de 14 de mayo, de medidas para reforzar la protección a los deudores hipotecarios, reestructuración de la deuda y alquiler social, por la posible infracción del principio de interdicción de la arbitrariedad (art. 9.3 CE), de los derechos a la tutela judicial efectiva (art. 24.1 CE) y a utilizar los medios de prueba pertinentes para la propia defensa (art. 24.2 CE), y de exclusividad jurisdiccional del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enumera, y en consecuencia limita, los concretos medios de prueba (documentos) que permiten acreditar los requisitos de las situaciones de especial vulnerabilidad definidas en el art. 1 de la misma Ley 1/2013 para suspender el lanzamiento en una ejecución hipotecaria tras la adjudicación al acreedor ejecutante de la vivienda habitual del deudor ejecutado.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inconstitucionalidad tiene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procedimiento de ejecución hipotecaria 110-2009, el Juzgado de Primera Instancia e Instrucción núm. 2 de Roquetas de Mar, tras los trámites oportunos, celebró la subasta del bien hipotecado y dictó los Decretos de 30 de noviembre de 2010, de adjudicación de la finca a la entidad ejecutante (Caja de Ahorros de Galicia, después NCG Banco, S.A.) por no concurrir ningún postor, y de 2 de septiembre de 2010, de cancelación de cargas.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escritos de 3 y 14 de septiembre de 2012, la representación de la parte ejecutante interesó que se requiriera a los ejecutados para que manifestaran si cumplían los requisitos establecidos en el Real Decreto-ley 27/2012 y en la Ley 1/2013 para permanecer en la finca adjudicada, aportando a tal efecto los documentos exigidos en los citados textos legales o, en caso contrario, que se procediera por el Juzgado al lanzamiento de los mismos como poseedores sin título, al amparo del art. 675 de la Ley de enjuiciamiento civil (LEC). Esta petición fue reiterada el 5 de noviembre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escrito de 9 de mayo de 2014 comparecieron los ejecutados (doña C.C y don A.C.) pidiendo la suspensión del lanzamiento, entre otras alegaciones que no interesan al presente proceso constitucional, por resultarles de aplicación lo establecido en la Ley 1/2013, de 14 de mayo. Como soporte documental de su petición acompañaron: (i) documentación rumana acreditativa del nacimiento de dos hijas comunes en aquel país, en 2000 y 2002; (ii) el libro de familia español donde figuran otras tres hijas comunes, nacidas en 2003, 2006 y 2008; (iii) certificado de empadronamiento de todos ellos en la vivienda adjudicada; (iv) documentación médica sobre una dolencia que padecen las tres hijas menores (“poliquistosis renal”); y (v) la solicitud de la inscripción en el servicio andaluz de empleo de la mujer y la resolución aprobatoria de la prestación por desempleo del marido.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representación de la parte ejecutante presentó escrito de oposición en fecha 27 de mayo de 2014, alegando que no se había aportado la documentación requerida por el art. 2 de la Ley 1/2013 y que por tanto no procedía la suspensión del lanzamiento.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30 de mayo de 2014 el Juzgado acordó “no haber lugar a la suspensión del lanzamiento interesada” por “no [constar] la completa acreditación de los requisitos exigidos” en la citada Ley 1/2013 para poder acceder a la suspensión. Aunque el Auto reconoce que “la documentación aportada” acredita la condición de “familia numerosa” de los recurrentes, razona sin embargo que “no se justifica el cumplimiento de los restantes requisitos, como podría ser la inexistencia de otras titularidades inmobiliarias por parte de los deudores hipotecarios, no consta certificado de rentas de los últimos cuatro ejercicios, y en su caso, certificado relativo a la presentación del impuesto de patrimonio expedido por la agencia estatal de administración tributaria con relación a los últimos cuatro ejercicios tributarios. Por ello no puede comprobarse efectivamente la concurrencia de los requisitos, ni el cambio sufrido por la unidad familiar en los últimos cuatro años; desconociéndose los ingresos que la unidad familiar ha tenido en los últimos años por cuanto dicho hecho no se ha acreditado”.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Interpuesto recurso de apelación contra el citado Auto por los ejecutados, así como escrito de oposición por la ejecutante, la Sección Primera de la Audiencia Provincial de Almería competente para su resolución señaló el día 1 de marzo de 2016 para la deliberación y fallo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28 de enero de 2016 la Sección dictó sin embargo una providencia dando audiencia a las partes personadas y al Ministerio Fiscal para para que en el plazo común e improrrogable de diez días pudiesen alegar sobre la pertinencia de plantear cuestión de inconstitucionalidad en relación con el art. 2 de la Ley 1/2013, por posible vulneración de los 9.3 (principio de interdicción de la arbitrariedad), 24 (derecho a la tutela judicial efectiva y derecho a utilizar las pruebas pertinentes para la propia defensa) y 117.3 CE (principio de exclusividad jurisdiccional), o sobre el fondo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providencia fue debidamente notificada a las partes personadas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19 de febrero de 2016 la parte ejecutada presentó sus alegaciones, no oponiéndose al planteamiento de la cuestión de inconstitucionalidad. En las actuaciones remitidas no consta escrito de la parte ejecutante ni del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Auto de 11 de abril de 2016 la Sección Primera de la Audiencia Provincial de Almería acordó plantear cuestión de inconstitucionalidad en relación con el art. 2 de la Ley 1/2013 por posible vulneración de los arts. 9.3, 24 y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comienza haciendo referencia a los requisitos procesales (juicios de aplicabilidad y relevancia), reiterando, en esencia, lo ya anticipado en la providencia de apertura del trámite de audiencia del art. 35.2 de la Ley Orgánica del Tribunal Constitucional (LOTC), esto es, que la razón de decidir del Auto apelado es la aplicación del art. 2 de la Ley 1/2013 de cuya constitucionalidad se duda, y que de su constitucionalidad o inconstitucionalidad depende la estimación o desestimación del recurso de apelación y la consiguiente suspensión o no del lanzamiento solicitado. Adicionalmente, razona que la inadmisión de la cuestión de inconstitucionalidad en relación con el mismo art. 2 de la Ley 1/2013 promovida por posible vulneración del derecho a la prueba acordada en el ATC 152/2014, de 27 de mayo, no es aplicable a este caso pues en aquel otro se inadmitió la cuestión por su carácter condicionado a la duda de constitucionalidad igualmente suscitada en relación con el art. 1.4 a) de la misma Ley (FJ 5), relación de dependencia que aquí no se produce.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de planteamiento aclara también que a pesar de las modificaciones de la Ley 1/2013 introducidas por el Real Decreto-ley 1/2015, de 27 de febrero, el art. 2 cuestionado “no ha sido modificado desde su redacción originaria”. Y por último recuerda la interpretación amplia del término “fallo” de los arts. 163 CE y 35.1 LOTC llevada a cabo por este Tribunal en el sentido de entender igualmente incardinable en el mismo la resolución de incidentes o procesos ejecutivos mediante resoluciones en forma de Auto con contenido declarativo (cita en este sentido la STC 76/1982).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 seguido, expone sus dudas de constitucionalidad en relación con el precepto cuestionado, que pueden sintetizarse del siguiente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artículo 2 pudiera ser contrario al principio de interdicción de la arbitrariedad (art. 9.3 CE) en cuanto que la exposición de motivos de la Ley no justifica la limitación de medios probatorios. La Sala reconoce la “amplia libertad de configuración” del legislador para regular la ejecución hipotecaria, e incluso para limitar los motivos de oposición del procedimiento de ejecución hipotecaria (cita en este sentido la STC 41/1981 y el ATC 113/2011), pero entiende que no existe justificación para limitar los medios de prueba admitidos en Derecho (solo prueba documental) y para imponer, además, qué concretos de entre todos los posibles documentos deben aportarse. Esa amplia libertad de configuración antes mencionada no permite al legislador ser “arbitrario”. Además, le parece que esa limitación de medios del deudor hipotecario resulta contradictoria con la libertad del deudor no hipotecario, el cual puede “alegar y probar lo que considere oportuno respecto de la situación alegada”, conforme al art. 675.3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precepto le parece asimismo contrario al derecho a la tutela judicial efectiva del art. 24.1 CE, en relación con el art. 117.3 CE, por cuanto representa o supone un “desequilibrio”, “desventaja” o “limitación en la defensa” de una de las partes contraria a los principios de igualdad de armas y contradicción, tal y como han sido desarrollados por el Tribunal Europeo de Derechos Humanos. La limitación de medios de prueba, prosigue, no persigue un “fin legítimo” ni hay una “relación razonable de proporcionalidad entre los medios empleados y el objetivo que se persigue”.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el art. 2 de la Ley 1/2013 le parece igualmente contrario al derecho a emplear los medios pertinentes para la propia defensa, consagrado en el art. 24.2 CE. Reconoce que este derecho es “de configuración legal” pero le parece que los “únicos presupuestos de admisión” de un medio de prueba son los del art. 283 LEC, esto es, pertinencia, utilidad y legalidad. Este principio de legalidad, tal y como está formulado en el art. 283 citado, está formulado “en sentido negativo: nunca se admitirá como prueba cualquier actividad prohibida por la ley”, pero “a lo que no llega el precepto ni se admite en ningún ámbito de la jurisdicción … es a configurar el principio de legalidad en sentido positivo como lo hace el art. 2 cuestionado, esto es, a indicar que sólo puede utilizarse para defender o enjuiciar la exclusión social este o aquel, ya no medio probatorio, sino … este o aquel documento”. Semejante técnica le parece contraria al art. 24.2 CE. Concluye afirmando que con este precepto se está introduciendo una “justicia administrativizada” incompatible con el art. 117.3 CE, pues si la exigencia positiva de determinados documentos está justificada en el ámbito de la Administración por tener ésta encomendada la gestión de los intereses generales (art. 103.1 CE), esta limitación le parece “incompatible” con la función de la jurisdicción como “función juzgadora sobre derechos y garantías individuales”. Con este precepto, el legislador estaría introduciendo un criterio de “prueba tasada” contrario a la libre valoración de la prueba como principio general en derecho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 modo de conclusión final, el Auto termina con el siguiente razonamiento: la norma cuestionada “…es radicalmente contraria a la garantía constitucional de la jurisdicción conforme a lo dispuesto en el art. 117.3 de la Carta Magna. En los términos del presente caso, lo que se ha producido es que la norma cuestionada no permite valorar en su integridad la situación que se presenta al caso concreto, esto es no permite que esta sala declare a los dos demandados en este procedimiento en situación de exclusión social, cuando son cinco miembros en la unidad familiar y están en situación de desempleo (hechos acreditados documentalmente que darían lugar a la concesión del derecho), todo porque no se han presentado los cuatro certificados de renta (puede no existir) o certificación negativa del registro de la propiedad (que, como elemento impeditivo del derecho debiera aportarlos el ejecutante hoy apelado). A esta sala sólo le queda la posibilidad de desvincularse del artículo dos planteando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7 de junio de 2016, la Sección Cuarta de este Tribunal acordó, a los efectos del art. 37.1 LOTC, conferir plazo de diez días al Fiscal General del Estado para que alegue lo que considere conveniente acerca de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30 de junio de 3016. En él, interesa la inadmisión de la presente cuestión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una extensa exposición de los antecedentes del caso y de la jurisprudencia de este Tribunal acerca del concepto de cuestión “notoriamente infundada” (art. 37.1 LOTC), el Ministerio público razona sobre las concretas dudas elevadas por el órgano promotor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Le parece, en primer lugar, que la censura sobre el supuesto carácter arbitrario de la norma carece de todo fundamento constitucional. Es a su juicio palmario que los documentos exigidos guardan relación con los requisitos materiales enumerados en el art. 1 de la misma Ley 1/2013, por lo que su exigencia no es fruto del mero capricho del legislador ni carece de toda explicación racional. Rechaza igualmente la denuncia de discriminación por relación al art. 675.3 de la Ley de enjuiciamiento civil, pues se trata de situaciones jurídicas distintas (lanzamientos en desahucios no hipotecarios frente a lanzamientos en desahucios hipotecarios). Además, según el preámbulo de la Ley, ésta quiere atender a las situaciones de necesidad derivadas de la crisis económica, fin específico ausente en la norma general del art. 675.3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Desde la perspectiva del derecho a la pruebas (art. 24.2 CE), le parece que los documentos exigidos guardan correspondencia o relación de pertinencia con las circunstancias exigidas en el art. 1 de la Ley para acogerse a la moratoria que establece. Existen otros ejemplos en nuestro ordenamiento en que las partes deben acreditar su pretensión mediante la aportación de cierto tipo de pruebas documentales, como los procesos de ejecución (arts. 550 y 573 LEC), sin que ello suponga por sí mismo vulneración del derecho a la prueba. Y difícilmente pueden concebirse, concluye, pruebas distintas de las previstas en ese artículo 2 que sean idóneas y pertinentes para acreditar los requisitos que establece el art. 1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relación con la duda vinculada al art. 117.3 CE, argumenta que el artículo 2 cuestionado no limita en absoluto la potestad jurisdiccional de jueces y tribunales, entendida como facultad exclusiva de juzgar y hacer ejecutar lo juzgado aplicando las leyes sin interferencias. La norma cuestionada en ningún caso priva al órgano jurisdiccional de la potestad de comprobar y verificar con exclusividad el cumplimiento de los requisitos fijados por el legislador para poder acogerse a la moratoria en el lanzamiento que prevé el art. 1 de la Ley 1/2013. Lo que no puede pretenderse por la vía de la cuestión de inconstitucionalidad es censurar de modo genérico la constitucionalidad de un régimen o esquema legal por contraste con un hipotético modelo alternativo que no le corresponde formular al órgano proponente ni valorar a este Tribunal Constitucional, sino que es competencia exclusiva del legislador dentro de su libertad de elección. Mediante el cuestionamiento del artículo 2 desde esta óptica el órgano proponente pretende reformular la propia noción legal de “exclusión social” del artículo 1 y extender la moratoria a otros supuestos distintos no contemplados por el legislador, lo que excede de sus atribuciones.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Ciñéndose así al concreto modelo configurado por el legislador, concluye que ninguna limitación en sus facultades de alegación y prueba se impone a los ejecutados en el precepto cuestionado. Así, aportaron los documentos pertinentes para justificar su situación de exclusión social; documentos que conforme a la regulación legal resultaba a todas luces insuficiente para acreditar la concurrencia de los requisitos establecidos en el art. 1 de la Ley 1/2013, pues no cualquier situación de exclusión social o de precariedad o necesidad es suficiente para acogerse al régimen de la Ley 1/2013, sino solo la concretamente definida por 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Aportada esa documentación, el órgano jurisdiccional conserva intactas sus facultades jurisdiccionales para verificar el cumplimiento de los requisitos legales; pero no puede pretender reformular el concepto legal de exclusión social.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Provincial de Almería plantea cuestión de inconstitucionalidad en relación con el art. 2 de la Ley 1/2013, de 14 de mayo, de medidas para reforzar la protección a los deudores hipotecarios, reestructuración de la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establece los concretos medios de prueba que permiten acreditar la situación de exclusión social definida en el precedente artículo 1 para suspender el lanzamiento en determinados procesos judiciales de ejecución hipotecaria, una vez adjudicada al acreedor o a persona que actúe por su cuenta la vivienda habitual de los ejecutados.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Dice en concreto este artículo 2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 Acreditación.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concurrencia de las circunstancias a que se refiere esta Ley se acreditará por el deudor en cualquier momento del procedimiento de ejecución hipotecaria y antes de la ejecución del lanzamiento, ante el Juez o el Notario encargado del procedimiento, mediante la presentación de los siguientes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Percepción de ingresos por los miembros de la unidad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Certificado de rentas y, en su caso, certificado relativo a la presentación del Impuesto de Patrimonio, expedido por la Agencia Estatal de Administración Tributaria con relación a los últimos cuatro ejercicios tributarios.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Últimas tres nóminas percibidas.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Certificado expedido por la entidad gestora de las prestaciones, en el que figure la cuantía mensual percibida en concepto de prestaciones o subsidios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Certificado acreditativo de los salarios sociales, rentas mínimas de inserción o ayudas análogas de asistencia social concedidas por las Comunidades Autónomas y las entidades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En caso de trabajador por cuenta propia se aportará el certificado expedido por la Agencia Estatal de Administración Tributaria o, si estuviera percibiendo la prestación por cese de actividad, el certificado expedido por el órgano gestor en el que figure la cuantía mensual percibida.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Número de personas que habitan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Libro de familia o documento acreditativo de la inscripción como pareja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Certificado de empadronamiento relativo a las personas empadronadas en la vivienda, con referencia al momento de la presentación de los documentos acreditativos y a los seis meses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Titularidad de los bienes: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Certificados de titularidades expedidos por el Registro de la Propiedad en relación con cada uno de los miembros de la unidad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Escrituras de compraventa de la vivienda y de constitución de la garantía hipotecaria y otros documentos justificativos, en su caso, del resto de las garantías reales o personales constituidas, si las hubiere.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Declaración responsable del deudor o deudores relativa al cumplimiento de los requisitos exigidos para considerarse situado en el ámbito de aplicación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órgano jurisdiccional le parece que esta limitación de medios probatorios puede ser contraria a los principios de exclusividad jurisdiccional (art. 117.3 CE) y de interdicción de la arbitrariedad (art. 9.3 CE) y a los derechos a la tutela judicial efectiva (art. 24.1 CE) y a utilizar los medios de prueba pertinentes para la propia defensa (art. 24.2 CE), de acuerdo con los razonamientos que han quedado suficientemente detallados en el apartado de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de la Ley Orgánica del Tribunal Constitucional (LOTC) establece que este Tribunal podrá rechazar, en trámite de admisión, mediante Auto y sin otra audiencia que la del Fiscal General del Estado, la cuestión de inconstitucionalidad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reiterada de este Tribunal que “el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necesariamente, que carezca de forma total y absoluta de fundamentación o que ésta sea arbitraria, pudiendo resultar conveniente en tales casos resolver la cuestión en la primera fase procesal, máxime si su admisión pudiera provocar efectos no deseables, como la paralización de múltiples procesos en los que resulte aplicable la norma cuestionada” (así, entre los más recientes, ATC 121/2015,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y por las razones que se exponen a continuación, puede apreciarse ya en este trámite liminar esa falta de viabilidad de la cuestión apuntada por nuestra comentada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dudas primera, tercera y cuarta del Auto de planteamiento plantean en realidad la misma cuestión: la razonabilidad (perspectiva de la interdicción de la arbitrariedad: art. 9.3 CE) y aun la posibilidad misma (perspectiva del derecho a la prueba del art. 24.2 CE y del principio de exclusividad jurisdiccional del art. 117.3 CE) de limitar el legislador los concretos medios de prueba para acreditar la situación de “especial vulnerabilidad” definida en el art. 1 de la misma Ley 1/2013, y que según ese mismo artículo 1 permite suspender el lanzamiento acordado en un proceso judicial de ejecución hipotecaria. Por lo tanto, una mayor claridad expositiva aconseja su resolución conjunta.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comenzar recordando que este Tribunal ya ha reconocido que el derecho a la prueba es un “derecho de configuración legal” [por todas, STC 52/1998, de 3 de marzo, FJ 2 a)], por lo que, en contra de lo que sostiene el Auto de planteamiento, también ha dicho expresamente que “solo [son] admisibles los medios de prueba autorizados por el Ordenamiento” [STC 291/2006, de 9 de octubre, FJ 2 b), con cita de otras muchas en el mismo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la posibilidad de limitar o condicionar no solo la prueba en general sino los concretos medios de prueba admisibles fue ya establecida en la STC 51/1985, de 10 de abril,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2 del art. 24 de la Constitución, al enumerar los que grosso modo pueden denominarse derechos constitucionales de contenido procesal, menciona de manera concreta el derecho de todos «a utilizar los medios de prueba pertinentes para su defensa». Como todos los derechos fundamentales establecidos entre los arts. 14 y 29 presenta éste una doble línea de proyección de su eficacia, pues es un parámetro para fijar la legitimidad constitucional de las Leyes y es un derecho (y una norma) directamente ejercitable (aplicable) por el particular. Cuando existe una intermediación legal, la regla del art. 24. 2 de la Constitución puede servir para determinar la legitimidad constitucional de los requisitos de tiempo y de forma de la proposición de las pruebas o el ámbito objetivo de éstas (todos los medios pensables, etc.).”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en concreto, este Tribunal también ha reconocido que las “características del proceso” o su “especial naturaleza” pueden “modular” este derecho a la prueba del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lo ha hecho en la STC 44/2009, de 12 de febrero, FFJJ 8 b) y 9, y en otras muchas a propósito de la limitación de prueba en los recursos contra la proclamación de candidatos y de candidaturas derivada del art. 49.1 de la Ley Orgánica del régimen electoral general, que solo permite admitir las pruebas que se acompañen al escrito de alegaciones, en atención a las notas de celeridad y perentoriedad que caracterizan a este tipo procesal. E igualmente en la STC 168/1986, de 22 de diciembre, FJ 4, sobre la limitación de medios de prueba en el procedimiento de ejercicio del derecho de rectificación [pruebas “que puedan practicarse en el acto”: art. 6 b) de la Ley Orgánica 2/1984, de 26 de marzo], en atención igualmente al carácter “urgente y sumario” del procedimiento instituido con el limitado objeto de exigir la publicación de la rectificación denegada, y que no produce efectos de cosa juzgada respecto de las acciones civiles o penales que puedan entablarse para una ulterior investigación sobre la verdad de los hechos publicados o difundidos.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este caso, tratándose de un proceso judicial de ejecución hipotecaria, cuyas singularidades ya ha destacado igualmente este Tribunal (“procedimiento de ejecución sumario” que “no … produce cosa juzgada”; “carácter no definitivo del procedimiento”; “ausencia de fase de cognición”; “cognición limitada y medios de defensa limitados”; basado en la “extraordinaria fuerza ejecutiva del título”: ATC 113/2011, de 19 de julio, FJ 4, con cita de la STC 41/1981, de 18 de diciembre, y en el mismo sentido STC 79/2013, de 8 de abril, FJ 3), la posibilidad de introducir modulaciones a las normas generales sobre admisión de pruebas establecidas en el art. 283 de la Ley de enjuiciamiento civil (LEC) no puede cuestionarse. Es más, como apunta la Fiscal General del Estado en sus alegaciones, la exigencia de concretos documentos no ya solo para la estimación de pretensiones sino incluso para condicionar la admisibilidad misma de determinados procesos no es una técnica desconocida en nuestro derecho. Se contiene en las normas generales sobre los procesos judiciales de ejecución (arts. 550 y 573 LEC) que cita el Ministerio público, y también en las del proceso monitorio (arts. 439.4 y 812 LEC) o en las del proceso contencioso-administrativo (art. 45 de la Ley reguladora de la jurisdicción contencioso-administrativa), por citar otros ejemplos.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relación con esta limitación de medios, el requisito de la pertinencia expresamente mencionado en el art. 24.2 CE al establecer el derecho a la prueba no tiene por qué ser el único límite constitucionalmente admisible a este derecho, pues como este Tribunal ha reiterado no hay en nuestro ordenamiento derechos ilimitados y absolutos (entre otras muchas, STC 181/1990, de 15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lo anterior, esto es, la posibilidad de limitar o modular el derecho a la prueba en atención a las características o naturaleza del procedimiento, resta por analizar si esa modulación supera o no el canon de la razonabilidad que impone el art. 9.3 CE y responde a la vez a la protección de otros bienes o derechos dignos de protección que puedan válidamente erigirse en límites del primero, conforme a su rango de derecho fundamental consagrado en el art. 24.2 CE. Si es así, decaerá igualmente la duda de posible vulneración del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Comenzando por la segunda constatación, es forzoso reconocer que la adjudicación del bien al acreedor (como remedio subsidiario ante la ausencia o insuficiencia de posturas en la subasta, art. 671 LEC), es necesaria para hacer efectivo su derecho como tal acreedor hipotecario definido en el Código civil (CC) y en la Ley hipotecaria. Según estas leyes “la hipoteca sujeta directa e inmediatamente los bienes sobre que se impone, cualquiera que sea su poseedor, al cumplimiento de la obligación para cuya seguridad fue constituida” (arts. 1876 CC y 104 de la Ley hipotecaria: LH), de modo que “el acreedor podrá reclamar del tercer poseedor de los bienes hipotecados el pago de la parte de crédito asegurada con los que el último posee, en los términos y con las formalidades que la ley establece” (art. 1879 CC, que remite así a los arts. 126 y 127 LH). El art. 675 LEC es, por ello, simple corolario de ese derecho, que es precisamente el que se ejercita a través de esta modalidad procedimental (procedimiento judicial de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Quiere con ello decirse que de no reconocerse esta facultad de tomar posesión de los bienes y expulsar a los poseedores del bien hipotecado adjudicado al acreedor (sin perjuicio de las acciones declarativas que correspondan) los derechos del acreedor hipotecario como tal titular de un derecho real de garantía se verían desvirtuados y el procedimiento judicial de ejecución hipotecaria instituido en su favor con amparo en ese título singular carecería de todo efecto útil. En consecuencia, es obligado concluir que aquellas facultades (adquirir la posesión del bien hipotecado y expulsar del mismo a eventuales poseedores) deben integrarse en el derecho del ejecutante a la “efectividad” de la tutela judicial de su derecho de hipoteca pretendida con esta concreta modalidad procesal. Es decir, que el derecho a la prueba de los ejecutados en este incidente de lanzamiento posterior y accesorio al procedimiento judicial de ejecución hipotecaria se ve fuertemente contrapesado por el derecho a la tutela efectiva de los jueces y tribunales en el ejercicio del derecho (de hipoteca) del ejecutante, igualmente de rango fundamental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la STC 41/1981, ya citada, FJ 5, “el procedimiento de ejecución hipotecaria... En puridad, es un proceso de ejecución. Más en concreto, es un procedimiento de realización del valor de la finca hipotecada, que carece de una fase de cognición. Tal estructura resulta lógica a partir de la naturaleza del título. La garantía del crédito hipotecario consiste en la sujeción del valor de la finca hipotecada, que es simplemente potencial, porque la realización del valor sólo puede producirse si se da la conditio iuris de que se incumpla la obligación asegurada. Producida tal conditio iuris, la sujeción potencial se actualiza y el valor se realiza. El procedimiento es una vía de apremio, en que el juez realiza un derecho del acreedor, que éste no puede realizar por sí sólo porque se lo impide el principio de la paz jurídica … La acción hipotecaria se ejercita directamente sobre los bienes hipotecados”.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desde esta perspectiva, la limitación del derecho fundamental a la prueba de los ejecutados establecida en el precepto cuestionado encuentra amparo en otro derecho del mismo rango, de titularidad de la contraparte.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Entrando ahora en la concreta limitación establecida por el precepto cuestionado, esto es, en la justificación de los concretos documentos exigidos (perspectiva de la razonabilidad: art. 9.3 CE), los documentos citados en el art. 2 de la Ley 1/2013, antes transcrito: (i) ni son ajenos a la finalidad de acreditar los requisitos de las situaciones de “especial vulnerabilidad” definidas en el artículo 1: número de miembros de la unidad familiar, sus ingresos, patrimonio y el resto de condiciones exigidas; es más, son los propios para hacerlo (a diferencia de lo resuelto por ejemplo en la STC 77/2015, de 27 de abril, FJ 4); (ii) ni se ha razonado tampoco que no hayan podido ser obtenidos por los ejecutados en el caso de autos, o que su obtención resulte de una dificultad desproporcionada; de hecho, pueden ser obtenidos por los interesados solicitándolos directamente de los órganos competentes de las Administraciones públicas (Agencia Estatal de la Administración Tributaria, entidades gestoras de la Seguridad Social, Registro de la Propiedad, Registro Civil, y servicios de asistencia social de las comunidades autónomas), a sus empleadores, caso de las nóminas (si existen, claro está, esto no necesita ser explicitado) y las entidades de crédito y otras partes que puedan tener relaciones contractuales con el mismo (si igualmente existen esas otras relaciones civiles, evidentemente).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la lesión que la Audiencia Provincial imputa a la norma pudiera ser, en realidad, imputable a los propios ejecutados, que no han obtenido y aportado los documentos requeridos, sin que conste ni se alegue que no hayan podido hacerlo. Y la “pasividad” o “desinterés”, como es sabido, enervan la existencia de indefensión, según consolidada jurisprudencia de este Tribunal (por todas, STC 16/2011, de 28 de febrero, FJ 4); indefensión que es a su vez necesaria para poder apreciar la vulneración del derecho a la prueba, que no puede existir sin ella (por todas STC 212/2013, de 16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Las anteriores reflexiones convierten asimismo en infundada la duda de inconstitucionalidad del art. 2 de la Ley 1/2013 por vulneración del art. 117.3 CE. Con la enumeración de esos medios probatorios (idóneos y disponibles para las partes, según se ha razonado ya) la norma cuestionada no está impidiendo a los órganos jurisdiccionales “valorar en su integridad” la situación de los ejecutados, tal y como denuncia el Auto de planteamiento; está definiendo en sus justos términos, de acuerdo con los criterios de oportunidad política que corresponde valorar al legislador, el derecho de los poseedores de una vivienda hipotecada a suspender temporalmente el lanzamiento ante la concurrencia de determinadas circunstancias excepcionales previamente definidas en el artículo 1 (con implícita exclusión de otras). Y, como apunta la Fiscal General del Estado en su informe, una vez definido el derecho de ese modo querido por el legislador los órganos jurisdiccionales conservan intacta su potestad de verificar sin interferencias el cumplimiento o no de los requisitos exigidos legalmente, y en consecuencia declarar o denegar el derecho pretendido según se ajuste o no a esa previa ordenación efectuada por el legislador. Con ello queda preservada la función jurisdiccional de jueces y magistrados. Lo que no ampara la potestad de “juzgar y hacer ejecutar lo juzgado” exclusiva de juzgados y tribunales conforme al art. 117.3 CE, que el órgano promotor erige en soporte de su duda de constitucionalidad, es la declaración de derechos no reconocidos por el ordenamiento, pues la misma Constitución impone que aquella potestad se ha de ejercer siempre con pleno sometimiento a la ley (art. 117.1 CE). Como recuerda la STC 37/2012, de 19 de marzo, FJ 5: “Jueces y Tribunales no están subordinados en el ejercicio de su función jurisdiccional a ningún otro poder público, sino sometidos única y exclusivamente ‘al imperio de la ley’, esto es, sujetos al Derecho. Ello significa que, a diferencia de lo que acontece con los poderes legislativo y ejecutivo, que disponen legítimamente de un amplio margen (siempre dentro del ordenamiento jurídico, como advierte el art. 9.1 CE) para adoptar de manera discrecional decisiones políticas, los Jueces y Tribunales integrantes del poder judicial no pueden ejercer su función jurisdiccional con discrecionalidad política ni según su libre albedrío, sino que han de juzgar sometidos al imperio de la ley, con sujeción al sistema de fuentes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hasta aquí razonado, obviamente, no convierte a la Ley 1/2013 en la única regulación posible en el marco de la Constitución para articular la relación entre los dos derechos enfrentados (derecho a la tutela judicial efectiva del acreedor hipotecario y derecho a la prueba de los poseedores de la vivienda hipotecada), sino solamente en una de las posibles alternativas cuya oportunidad corresponde valorar al legislador, o dicho de en otro términos, en una regulación no inconstitucional sin perjuicio de otras sobre el mismo objeto que pudieran ser igualmente conformes con la Constitución (así, ATC 152/2014, de 27 de mayo, FJ 4, sobre esta misma la Ley 1/2013). Y tampoco implica, por lo mismo, juicio alguno de este Tribunal sobre la bondad, oportunidad o perfección técnica de la Ley 1/2013, extremos todos ellos ajenos al juicio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por lo que respecta a la segunda duda de constitucionalidad (vulneración del art. 24.1 CE), el auto de la Audiencia Provincial no explica cómo ni en qué medida pueden resultar vulnerados los principios de “contradicción” e “la igualdad de armas” que menciona. Estos principios se refieren a la “igualdad procesal entre las partes” (así, entre otras, SSTC 128/2014, de 21 de julio, FJ 3; y 118/2014, de 8 de julio, FJ 3), esto es, a la igualdad en la definición de su estatuto como tales partes. Y en el mismo sentido lo han definido la jurisprudencia del Tribunal de Justicia de la Unión Europea y del Tribunal Europeo de Derechos Humanos: como “la obligación de ofrecer a cada una de las partes una oportunidad razonable de formular sus pretensiones en condiciones que no la coloquen en una situación de manifiesta desventaja en relación con la parte contraria” (Sentencia del Tribunal de Justicia de la Unión Europea Sánchez Morcillo y Abril García, de 17 de julio de 2014, asunto C-169/14, apartado 49); o como un principio de “justo equilibrio entre las partes” que implica que “se debe dar a cada uno una oportunidad razonable para presentar su causa en unas condiciones que no le sitúen en franca desventaja en comparación con su adversario” (Sentencia del Tribunal Europeo de Derechos Humanos asunto Regner contra Republica Checa, de 26 de noviembre de 2015, apartado 71).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modo que esos principios de igualdad de armas y contradicción se refieren a las facultades y oportunidades de las partes en el seno del proceso, y no a la mayor o menor dificultad para vencer en ese mismo proceso, extremo que depende de la regulación material del derecho sustantivo pretendido. La diferente onerosidad de las respectivas cargas de alegación y prueba que deben levantar cada una de las partes en el proceso para ver estimadas sus pretensiones es, por un lado, ajena a la estructura del proceso mismo, y perteneciente como queda dicho a la regulación sustantiva que reconoce el derecho de cuya tutela trata el proceso, y, por otro, consustancial a todo proceso, donde las partes por definición no se encuentran en posición de igualdad en la medida en que una pide y la otra puede solo resistir (el demandado no tiene la carga de alegar ni probar nada, le basta con que el actor no consiga acreditar los hechos constitutivos de su pretensión, art. 217.2 LEC, sin perjuicio de que pueda tomar una postura más activa y hasta reconvenir; y esto es así hasta el punto de que la incomparecencia misma del demandado —rebeldía— no asegura la estimación de las pretensiones del actor, cfr. art. 496.2 LEC). Por lo tanto, esos principios de contradicción e igualdad de armas que cita el Auto de planteamiento no pueden verse afectados por la mayor o menor precisión y rigor con que el legislador acometa la regulación del ejercicio de un derecho material o sustantivo que a solo a él corresponde definir.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2749-2016.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