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171</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6 de octubre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11 de abril de 2016, el Abogado del Estado, en representación del Presidente del Gobierno, interpuso recurso de inconstitucionalidad contra los arts. 2 (inciso “los hidratos de metano enterrados en el mar”), 3, 5, y 6 (inciso “así como la reposición de la situación alterada a su estado originario”) y las disposiciones transitorias primera y segunda de la Ley del Parlamento Vasco 6/2015, de 30 de junio, de medidas adicionales de protección medioambiental para la extracción de hidrocarburos no convencionales y la fractura hidráulica o fracking.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esencia, el Abogado del Estado sostiene que los arts. 3 y 5 de esa Ley, que modifican las Leyes de urbanismo y aguas del País Vasco, respectivamente, limitando o prohibiendo el uso de la técnica del fracking o fractura hidráulica en sus respectivos ámbitos de aplicación “pretende[n] dejar sin eficacia” las normas dictadas por el Estado en ejercicio legítimo de sus competencias en materia de economía (art. 149.1.13 CE) y bases del régimen minero (art. 149.1.25 CE) para permitir el empleo de esa técnica, posibilidad prevista en el art. 9.5 de la Ley 34/1998, de 7 de octubre, del sector de hidrocarburos, añadido por la disposición adicional segunda de la Ley 17/2013, de 29 de octubre, con las medidas de protección medioambiental igualmente establecidas por el Estado en la Ley 21/2013, de 9 de diciembre, de evaluación ambiental. Por este mismo motivo considera que son igualmente inconstitucionales y nulos un inciso del art. 6 y las disposiciones transitorias primera y segunda de la Ley 6/2015, por su carácter “instrumental” o por su “conexión” con los anteriores. Finalmente, entiende que un inciso del art. 2 permite a la Comunidad Autónoma extender sus competencias sobre el mar territorial sin concurrir los requisitos excepcionales para ello establecidos por la doctrina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en relación con el art. 30 de la Ley Orgánica del Tribunal Constitucional (LOTC), a fin de que se produjese la suspensión del inciso del precepto de la Ley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del Tribunal, mediante providencia de 26 de abril de 2016, acordó admitir a trámite el presente recurso de inconstitucionalidad y dar traslado de las actuaciones, conforme establece el art. 34 de la Ley Orgánica del Tribunal Constitucional, al Congreso de los Diputados, al Senado, al Gobierno y al Parlamento de la Comunidad Autónoma del País Vasco, por conducto de sus Presidentes, al objeto de que en el plazo de quince días, pudieran personarse en el proceso y formular las alegaciones que estimaran pertinentes. Se acordó, asimismo, tener por invocado por el Presidente del Gobierno el art. 161.2 CE, lo que, a su tenor y conforme dispone el art. 30 LOTC, produjo la suspensión de la vigencia y aplicación de los preceptos impugnados desde la fecha de interposición del recurso para las partes del proceso, y desde el día en que aparezca publicada la suspensión en el “Boletín Oficial del Estado” para los terceros, así como también publicar la incoación del recurso en el “Boletín Oficial del Estado” y en el “Boletín Oficial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Letrado del Parlamento Vasco presentó sus alegaciones ante este Tribunal el 9 de junio de 2016, solicitando la desestimación del recurso interpuesto y sin hacer alegaciones sobre el levantamiento de la suspensión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13 de junio de 2016, la representación del Gobierno Vasco formuló alegaciones solicitando la desestimación del recurso de inconstitucionalidad. Asimismo, solicitó por otrosí el levantamiento de la suspensión acordada. Recuerda que es doctrina consolidada de este Tribunal que el plazo de cinco meses previsto en el art. 161.2 CE opera como límite máximo para ratificar o levantar la suspensión, pero que se incluye entre las potestades del Tribunal Constitucional la de pronunciarse al respecto antes del transcurso de esos cinco meses, y expone luego una consideraciones de carácter general sobre los criterios a los que, a su juicio, debe atender este Tribunal para adoptar esa decisión, que son la presunción de legitimidad de las normas, la ponderación de los intereses en presencia, tanto el general y público como los particulares o privados de terceras personas afectadas, y la existencia de perjuicios de imposible o difícil reparación que puede producir la suspensión de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recuerda que tampoco concurren en este caso las circunstancias excepcionales admitidas por la doctrina de este Tribunal que justifican el mantenimiento de la suspensión sin necesidad de acreditar la producción de daños de imposible o difícil reparación, que son: a) supuestos en los que la competencia estatal está palmariamente reconocida por el bloque de constitucionalidad, y b) supuestos en los que la norma impugnada reconoce expresamente haberse dictado con la única finalidad de dejar en suspenso una competencia estatal cuya legitimidad se discute. En este caso, prosigue, no concurren ninguno de esos dos presupuestos: ni la Ley 6/2015 se ha dictado con la finalidad de bloquear el ejercicio de competencias estatales, ni puede afirmarse en este trámite liminar que la competencia estatal esté reconocida de forma palmaria en el bloque de la constitucionalidad, pues la norma autonómica se ampara en la competencia autonómica para dictar normas adicionales de protección del medio ambiente [art. 149.1.23 CE y 11.1 a) del Estatuto de Autonomía para el País Vasco: EAPV].</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señala una serie de circunstancias que a su juicio deben conducir al levantamiento de la suspensión: en primer lugar, la Ley ha estado en vigor por un periodo de nueve meses sin que se haya producido ningún perjuicio conocido ni a los intereses públicos ni a terceros; en segundo lugar, la prohibición introducida en la Ley del suelo (artículo 3) no es incondicionada, sino que depende de lo que dispongan los instrumentos de ordenación y gestión, que en la actualidad no prevén esa prohibición de la técnica extractiva, de modo que el levantamiento de la suspensión no produciría ningún efecto inmediato; en tercer lugar, la prohibición introducida en la Ley de aguas (artículo 5, que añade un apartado 2 al artículo 29 de esta última Ley) es en realidad una particularización o ejemplificación singular de la prohibición general de actividades susceptibles de provocar directa o indirectamente la contaminación o degradación de las aguas prevista en el apartado 1, por lo que en realidad el levantamiento de la suspensión tampoco modificaría esa realidad normativa; y finalmente, por lo que respecta a la disposición transitoria primera, que prescribe la aplicación de la Ley a los permisos ya concedidos o en tramitación, considera que el levantamiento de la suspensión tampoco produciría perjuicios irreparables teniendo en cuenta que en la actualidad solo hay permisos de investigación concedidos, no permisos de explotación, y aquéllos no atribuyen a su titular el derecho a obtener un permiso de explotación, sino solo “un derecho de prioridad para su tramitación”, según jurisprudencia del Tribunal Supremo. Además, los posibles perjuicios económicos quedarían cubiertos por el instituto de la responsabilidad patrimonial del estado legislador.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21 de junio de 2016, el Pleno del Tribunal acordó incorporar a los autos los escritos de alegaciones formulados por el Letrado del Parlamento Vasco y de los servicios jurídicos centrales de la Administración general de la Comunidad Autónoma del País Vasco, en representación de dicha Cámara y de su Gobierno, respectivamente, y, en cuanto a la solicitud que formula este último por otrosí sobre el levantamiento de la suspensión de los preceptos objeto del recurso, dar traslado al Abogado del Estado y a la representación legal del Parlamento Vasco para que, en el plazo de cinco días, pudieran exponer lo que estimasen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formuló sus alegaciones por escrito registrado en este Tribunal el 29 de junio de 2016, interesando el mantenimiento de la suspensión de la vigencia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hacer un recordatorio de los criterios que según la doctrina consolidada de este Tribunal deben manejarse para resolver sobre el mantenimiento o levantamiento de la suspensión, recuerda que casos similares a este se han resuelto ya, en favor de la competencia del Estado, en las SSTC 106/2014, de 24 de junio, 134/2014, de 22 de julio, y 208/2014, de 15 de diciembre, en relación con normas similares de Cantabria, La Rioja y Navarra, respectivamente; y, singularmente, en la STC 73/2016, de 14 de abril, en relación con una norma catalana que presenta una “indudable analogía o similitud intensa con este caso” por presentarse también como una medida adicional de protección del medio ambiente que fue sin embargo rechazada por el Tribunal. Por lo tanto, considera aplicable la doctrina del fumus boni iuris para justificar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Acto seguido, desgrana los perjuicios que el levantamiento de la suspensión podría generar tanto para el interés general como para intereses particulares o privados.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respecta al interés general, señala que el levantamiento de la suspensión privaría a España de una importante fuente de recursos energéticos, teniendo nuestro país una dependencia energética del 99,5 por 100 y un saldo negativo entre las importaciones y las exportaciones de productos energéticos de 26.085,5 millones de euros, según se acredita en el informe de la Secretaría de Estado de Comercio que acompaña a la demanda. Todo ello sin perjuicio de la repercusión en el producto interior bruto (4,3 por 100) y en la generación de empleo (260.000 puestos de trabajo) de esta actividad de explotación de gas no convencional, y de los ingresos tributarios que, como cualquier actividad empresarial, reportaría.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Identifica además una serie de perjuicios para intereses privados. Apunta en particular a los efectos del levantamiento de la suspensión sobre los permisos de investigación ya existentes, que afectan además a Comunidades Autónomas limítrofes, y que se identifican en los informes que acompañan a la demanda. Los titulares de los citados permisos están desarrollando los trabajos comprometidos, y con el levantamiento de la suspensión verían frustrada su legítima expectativa de recuperar la inversión comprometida, que en lo que a la Comunidad Autónoma del país Vasco se refiere asciende a 80 millones de euros. A ello hay que sumar el impacto que el levantamiento de la suspensión podría generar en la inversión extranjera, que podría desviarse a otras áreas geográficas con “un marco regulatorio más estable”.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recuerda que si la Ley recurrida se justifica en atención a los posibles riesgos que la actividad de la fractura hidráulica puede generar para el medio ambiente, la protección de éste se encuentra ya garantizada por la legislación del Estado, que impone el sometimiento de todo proyecto de estas características al trámite de evaluación ambiental. Y que la prohibición introducida en la Ley de aguas afecta al 36 por 100 del territorio de la Comunidad Autónoma del País Vasco, llegando, en el caso de Álava, al 50 por 100.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Termina alertando sobre el riesgo de proliferación de este tipo de iniciativas contrarias al fracking en otras Comunidades Autónomas si se levanta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del parlamento Vasco presentó sus alegaciones ante este Tribunal el 6 de julio de 2016, adhiriéndose expresamente a lo manifestado por la representación del Gobierno Vasco mediante otrosí en su escrito de alegaciones al recurso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los artículos de la Ley del Parlamento Vasco 6/2015, de 30 de junio, de medidas adicionales de protección medioambiental para la extracción de hidrocarburos no convencionales y la fractura hidráulica o fracking, que son objeto del recurso de inconstitucionalidad núm. 1941-2016 interpuesto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recurso, el Abogado del Estado considera que la citada Ley 6/2015 contraviene la posibilidad general de emplear la técnica de la fractura hidráulica, admitida en el art. 9.5 de la Ley 34/1998, de 7 de octubre, del sector de hidrocarburos, cuya cobertura competencial ex art. 149.1.13 (economía) y 25 (bases del régimen minero) CE ha admitido ya este Tribunal en las SSTC 106/2014, de 24 de junio, 134/2014, de 22 de julio, 208/2014, de 15 de diciembre, y STC 73/2016, de 14 de abril, dictadas con ocasión de recursos de inconstitucionalidad interpuestos por el Presidente del Gobierno contra normas similares de otras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representantes del Parlamento y Gobierno autonómicos entienden, por el contrario, que los preceptos e incisos recurridos encuentran cobertura competencial en los títulos de protección del medio ambiente [arts. 149.1.23 de la Constitución y 11.1 a) del Estatuto de Autonomía para el País Vasco: EAPV], ordenación del territorio y urbanismo (art. 10.31 EAPV) y aprovechamientos hidráulicos, canales y regadíos, aguas minerales, termales y subterráneas (art. 10.11 EAPV) asumidos por la Comunidad Autónoma del País Vasco; y enfatizan además que la Ley impugnada no contiene una prohibición absoluta e incondicionada de la técnica de la fractura hidráulica incompatible con las bases estatales, en los términos ya proscritos por las SSTC 106/2014, 134/2014 y 208/2014, citadas de contrario, sino que establecen limitaciones razonables y proporcionadas al fin propuesto (protección del medio ambiente), respetando así la citada jurisprudencia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Expuestos sucintamente los términos del recurso de inconstitucionalidad, cuyo contenido no compete resolver en este momento procesal, hemos de centrarnos en la cuestión de si procede o no procede levantar la suspensión de vigencia de las disposiciones impugnadas por el Estado, tal y como han solicitado las representaciones del Gobierno y del Parlamento autonómicos.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tipo de incidentes de suspensión es reiterada nuestra doctrina según la cual para su resolución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(así, entre otros muchos, AATC 157/2013, de 11 de julio, FJ 2, y 67/2015, de 14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todo, el Abogado del Estado alude como primer motivo de suspensión al criterio del fumus boni iuris, teniendo en cuenta los pronunciamientos anteriores de este Tribunal, ya citados, declarando inconstitucionales y nulas normas autonómicas que prohibían el empleo de la técnica del fracking.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Efectivamente, este Tribunal ha admitido excepcionalmente que pueda tenerse en consideración el criterio del fumus boni iuris para resolver este tipo de incidentes, como ocurre señaladamente cuando los preceptos impugnados sobre los que versa el incidente de suspensión contienen previsiones muy similares (una “similitud intensa o coincidencia literal”) con otras normas ya declaradas inconstitucionales y nulas por Sentencia de este Tribunal (así, AATC 78/1987, de 22 de enero, FJ 2; 183/2011, de 14 de diciembre, FJ 4; 182/2015, de 3 de noviembre de 2015, FJ 6, y 41/2016, de 16 de febrero, FFJJ 2 y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las tres primeras Sentencias antes citadas (SSTC 106/2014, 134/2014 y 208/2014) no pueden servir para aplicar el criterio de la apariencia de buen derecho. Como el propio Abogado del Estado reconoce en el escrito de interposición del recurso de inconstitucionalidad, la norma aquí impugnada se diferencia de las allí examinadas en que no contiene una “prohibición absoluta e incondicionada de la técnica de la fractura hidráulica en todo el territorio de la Comunidad Autónoma”, como se apreció en aquellos otros casos [SSTC 106/2014, FJ 8 a), 134/2014, FJ 2 f) y 208/2014, FJ 2 f)]. Por lo tanto, no pueden servir de soporte a la suspensión. Esta misma resolución se adoptó ya en el ATC 63/2015, de 17 de marzo, FJ 2, dictado en el recurso de inconstitucionalidad núm. 6513-2014, en el que recayó la última de las Sentencias citadas (STC 73/2016).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similitud apreciada por el Abogado del Estado entre el artículo 3 aquí impugnado y el precepto catalán declarado inconstitucional y nulo en la mencionada STC 73/2016, resulta obligado advertir que el precepto vasco contiene una remisión a “lo que establezcan los instrumentos de ordenación territorial urbanística y/o ambiental” que no existía en el precepto catalán, y que los representantes del Gobierno y del Parlamento Vascos fundamentan en esta divergencia la diferente solución que, a su juicio, debe adoptar este Tribunal, según es de ver en sus escritos de alegaciones. En consecuencia, la similitud no alcanza el grado necesario para aplicar el criterio del fumus boni iuris, excepcional como queda dicho en la doctrina de este Tribunal, y por tanto de aplicación restrictiva.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dicho respecto a las diferencias entre el precepto objeto de este recurso y el examinado en la STC 73/2016 conduce asimismo a rechazar que nos encontremos ante otro de los supuestos excepcionales que permiten mantener la suspensión sin entrar a valorar los perjuicios de imposible o difícil reparación que ello generaría: el bloqueo de competencias estatales. Según se recuerda en el citado ATC 63/2015, de acuerdo con la doctrina de este Tribunal “[t]al bloqueo podría llegar a producirse, bien porque la competencia estatal afectada está palmariamente reconocida por el bloque de constitucionalidad y no es discutida por las partes (ATC 336/2005, de 15 de septiembre, FJ 5); bien porque la norma autonómica impugnada reconoce expresamente que se ha dictado con la única finalidad de dejar en suspenso el ejercicio de una competencia estatal cuya legitimidad se discute (ATC 146/2013, de 5 de junio, FJ 4); bien, finalmente, porque concurren a la vez ambos requisitos: una competencia incontrovertida del Estado y una norma autonómica dictada con el propósito confesado de evitar que sea menoscabada por el ejercicio por el Estado de sus propias competencias (ATC 104/2010, de 28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Ninguna de las circunstancias descritas concurre en este caso: ni la competencia estatal es incontrovertida, pues la Ley recurrida se ampara en la competencia autonómica para dictar normas “adicionales” de protección del medio ambiente; ni existe evidencia alguna de que la Ley se haya dictado con el propósito de bloquear el ejercicio de las competencias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Al no ser aplicables los criterios anteriores, debe atenderse al criterio general y resolver si los perjuicios que ha alegado el Abogado del Estado tienen la gravedad y la consistencia necesarias como para prevalecer sobre la presunción de constitucionalidad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concretos perjuicios que se derivarían, según el Abogado del Estado, del levantamiento de la suspensión han quedado detallados en el apartado de los antecedentes. Resumidamente, alude a la pérdida, al menos provisional, de una fuente de recursos energéticos importante en un país como España con un alto grado de dependencia energética del exterior (perjuicio al interés general), y a las pérdidas que el levantamiento de la suspensión podría suponer para los titulares de los permisos de investigación ya concedidos, con inversiones comprometidas con el Estado por valor de 80 millones de euros (perjuicio al interés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Ninguno de estos perjuicios puede considerarse de imposible o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primero, el propio informe al que alude el Abogado del Estado, fechado el 6 de abril de 2016, afirma que existe “incertidumbre” en cuanto al “volumen de reservas de hidrocarburos no convencionales en España”, así como en cuanto a la posibilidad de su “recuperación” y “su viabilidad económica”, señalando además que “todos los permisos se encuentran en una fase preliminar y no parece factible la perforación de ningún sondeo con fractura hidráulica antes de dos años”. Por lo tanto, el mantenimiento de la suspensión no producirá el perjuicio alegado; todo lo más mantendrá la situación existente en España en tanto se resuelve el fondo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por lo que respecta a las pérdidas que puedan sufrir los titulares de permisos de investigación, se trataría de perjuicios de naturaleza económica y por tanto indemnizables, razón por la cual deben ceder ante la presunción de constitucionalidad de la Ley impugnada (ATC 181/2011, de 13 de diciembre, FJ 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los arts. 2 (inciso “los hidratos de metano enterrados en el mar”), 3, 5, y 6 (inciso “así como la reposición de la situación alterada a su estado originario”) y las disposiciones transitorias primera y segunda de la Ley de la Comunidad Autónoma del País Vasco 6/2015, de 30 de junio, de medidas adicionales de protección medioambiental para la extracción de hidrocarburos no convencionales y la fractura hidráulica o fracking.</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octubre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