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3031-2014,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“GDF Suez Cartagena Energía, S.L.”.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mayo de 2014, la Sección Cuarta de la Sala de lo Contencioso-Administrativo de la Audiencia Nacional remitió testimonio del Auto del 11 de abril del mismo año por el que acordaba plantear una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28 de octubre de 2011 la entidad AES Energía Cartagena, S.L.,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la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Concluidas las actuaciones, el 27 de febrero de 2014,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11 de abril de 2014 de la Sección Cuarta de la Sala de lo Contencioso-Administrativo de la Audiencia Nacional presenta la cuestión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concretamente, la disposición adicional tercera del Real Decreto-ley 14/2010, en desarrollo de la cual se había dictado la Orden ITC/2844/2011, cuyo artículo 2 determina las cuantías destinadas en el año 2011 a las actuaciones del plan con cargo a las empresas productoras de energía eléctrica (y a los peajes de acceso de terceros a las instalaciones gasistas, que no afectan directamente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arts. 1, 3 y 6.2 de la orden, si bien el núcleo del debate se centra en el art. 2, ya que el art.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al órgano judicial a reafirmarse en sus dudas de constitucionalidad y acordar,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“[P]lantear cuestión de inconstitucionalidad acerca de la disposición adicional tercera del Real Decreto-ley 14/2010, de 23 de diciembre, que establece medidas urgentes para la corrección del déficit tarifario del sector eléctrico, al dudar de la constitucionalidad de la norma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empresas productoras de electricidad en régimen ordinario con carácter exclusivo y frente a otras empresas productoras de electricidad.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15 de julio de 2014 se acordó admitir a trámite la presente cuestión, por posible vulneración de los arts. 9.3 y 14 CE; de conformidad con lo dispuesto en el art. 10.1 c) LOTC, deferir a la Sala Segunda,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177, de 22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25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31 de julio de 2014, la representación procesal de GDF Suez Cartagena Energía, S.L. (sucesora de AES Energía Cartagena, S.L.), solicitó que se le tuviera por personada y parte. Mediante diligencia de ordenación del 3 de septiembre del mismo año se acordó unir a las actuaciones el referido escrito, teniendo por personada a la entidad citada y concediéndole un plazo de quince días para que formulara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presentadas por el Abogado del Estado, interesando la desestimación de la cuestión, fueron registradas en este Tribunal el 4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status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GDF Suez Cartagena Energía, S.L., cumplimentó el día 26 de septiembre de 2014 el trámite de alegaciones conferido, interesando la 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la infracción de los arts. 9.3 y 14 CE, para coincidir con los argumentos del Auto de planteamiento sobre el carácter discriminatorio y arbitrario de la disposición objetada.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GDF Suez Cartagena Energía,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concluye que la disposición adicional tercera del Real Decreto-ley 14/2010 resulta contraria a los arts. 9.3, 14, 31 y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el 30 de septiembre de 2014, en las que solicitó la desestimación de la cuestión de inconstitucionalidad, por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selección de determinadas empresas generadoras de régimen ordinario que hace la norma cuestionada, y haciéndose eco de las aclaraciones ofrecidas por la Abogacía del Estado en la contestación a la demanda del proceso a quo,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a quo,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el Fiscal General del Estado solicita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de 10 de noviembre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bajo el título “Financiación de planes de ahorro y eficiencia energética para los años 2011, 2012 y 2013”,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de euros respectivamente, se financiarán mediante la aportación de cada una de las empresas productoras según los porcentajes recogidos en la siguiente tabla: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....................EMPRESA................................PORCENTAJE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..........Endesa Generación S.A........................34,66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Generación, S.A....................32,71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..........GAS Natural S.D.G, S.A.......................16,37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..........Hidroeléctrica del Cantábrico, S.A..........4,38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..........E.ON Generación, S.L...........................2,96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..........AES Cartagena, S.R.L...........................2,07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..........Bizkaia Energía,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..........Castelnou Energía, S.L.........................1,58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 Generadora del Sur, S.A.............1,62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..........Bahía de Bizkaia Electricidad,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..........Tarragona Power, S.L...........................0,81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....................Total.....................................100,00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11 entidades en concreto ni los porcentajes atribuidos.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GDF Suez Cartagena Energía,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 refiere a que, durante la pendencia del proceso judicial a quo,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a quo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entidad GDF Suez Cartagena Energía,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nuestro examen debe circunscribirse al contraste de la disposición cuestionada con los arts. 9.3 y 14 CE, sin entrar en la pretendida contradicción que alega GDF Suez Cartagena Energía, S.L. con los arts. 31.3 y 86.1 CE, no incluidos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la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selección de las 11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evidentes razones de unidad de doctrina, solo cabe, con íntegra remisión a lo resuelto en la citada STC 167/2016, llegar aquí a la misma conclusión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