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junio de 2016 tuvo entrada en el Registro General de este Tribunal oficio de la Sala de lo Social del Tribunal Superior de Justicia de Madrid, al que se acompaña, junto con el testimonio del procedimiento núm. 130-2016 que se tramita ante dicho Tribunal, el Auto de 3 de junio de 2016, por el que se acuerda plantear cuestión de inconstitucionalidad respecto de la disposición adicional decimosexta, apartado 4, de la Ley 27/2011, de 1 de agosto, sobre actualización, adecuación y modernización del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13 de octubre de 2014 la Dirección General del Servicio Público de Empleo Estatal (SEPE) emitió propuestas de liquidación a Barclays Bank, S.A.U., y Barclays Wealth Manager España S.G.I.I.C., S.A., por importe de 1.948.591 € por la anualidad 2011 y de 11.756.955,54 € por la anualidad 2012, y el 22 de enero de 2015 otra propuesta de liquidación por importe de 9.828.201,35 € relativa a la anualidad 2013, todas ellas en concepto de aportación económica al Tesoro de procedimiento de despido colectivo iniciado el 1 de junio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dichas propuestas de liquidación se presentaron alegaciones en las que, entre otros argumentos, se aducía la imposibilidad de aplicación retroactiva de la norma a situaciones agotadas antes de la entrada en vigor de la Ley 27/2011, de 1 de agosto, al haber finalizado el proceso de despido colectivo por acuerdo anterior a la entrada en vigor de dicha Ley. Por resolución de 20 de enero de 2015, la Dirección General del SEPE declaró definitivas las liquidaciones provisionales antes mencionadas. Y por resolución de 27 de noviembre de 2015 del Ministerio de Empleo y Seguridad Social se desestimaron los recursos de alzada interpuestos alegando contra la retroactividad aplicada.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Caixa Bank, S.A., entidad sucesora en virtud de fusión por absorción de Barclays Bank, S.A.U., y Barclays Wealth Manager España, interpuso demanda contra la resolución del Ministerio de Empleo y Seguridad Social, solicitando que se elevara cuestión de inconstitucionalidad frente a la disposición adicional decimosexta, apartado 4, de la Ley 27/2011, de 1 de agosto, sobre actualización, adecuación y modernización del sistema de Seguridad Social y que, tras la resolución de la citada cuestión, se dictase sentencia que declarase nula la resolución recurrida; y, subsidiariamente, que estimase la demanda por existencia del transcurso de los plazos de prescripción establecidos en el Real Decreto 1484/2012 y por inexistencia de beneficios del grupo en los dos años anteriores al inicio del despido conforme se desarrolla en los fundamentos jurídico-materiales segundo y tercero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26 de abril de 2016, la Sala de lo Social del Tribunal Superior de Justicia de Madrid acordó oír a las partes y al Ministerio Fiscal por el término de diez días sobre el posible planteamiento de una cuestión de inconstitucionalidad sobre la disposición adicional decimosexta, apartado 4, de la Ley 27/2011, de 1 de agosto, sobre actualización, adecuación y modernización del sistema de Seguridad Social, “por existir dudas sobre la compatibilidad de dicho efecto retroactivo concreto y el art. 9.3 CE, y la posible vulneración de las garantías constitucionales de seguridad jurídica e interdicción de la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despachando por escrito registrado el 10 de mayo de 2016 el traslado conferido, consideró que se daban los requisitos señalados por el art. 35.2 de la Ley Orgánica del Tribunal Constitucional (LOTC), por lo que nada tenía que oponer a que se plantease la cuestión por Auto motivado ante el Tribunal Constitucional, sin perjuicio de la postura que en cuanto al fondo del asunto sostuviera ante dicho órgano la Fiscalía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escrito firmado el 17 de mayo de 2016, la parte demandante señaló que se cumplían los presupuestos necesarios para el planteamiento de la cuestión de inconstitucionalidad. En cuanto al fondo, afirmó que se trataba de un expediente de regulación de empleo o despido colectivo, por causas económicas, donde todo el proceso de preparación de documentación, convocatoria, negociación, acuerdo final y autorización en virtud de resolución administrativa se había producido sin atisbo alguno de existencia de norma que obligue al abono de cantidad alguna, además de la propia indemnización acordada, cuando los trabajadores afectados son mayores de 50 años. A su juicio, se daban los requisitos para apreciar una retroactividad auténtica en la nueva norma: imprevisibilidad, onerosidad y arbitrariedad; y, por tanto, la norma resulta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 escrito de 23 de mayo de 2016, descartó que se tratase de una norma restrictiva de derechos individuales en el sentido del art. 9.3 CE, y recordó la necesidad de interpretar restrictivamente el precepto, para no cercenar la libertad del legislador, así como la noción de derechos individuales. En segundo lugar, enumeró diversas sentencias de la Audiencia Nacional y del Tribunal Superior de Justicia de Madrid que habían avalado la constitucionalidad de la norma. Consideró que la norma no era injusta ni desproporcionada, por cuanto perseguía un objetivo socialmente loable: reducir el impacto de la crisis económica sobre los trabajadores mayores cuando la empresa tiene beneficios en un periodo relevante y puede aplicar la medida extintiva a otros trabajadores o promover medidas de flexibilidad interna. La aplicación retroactiva de la norma se ajusta a lo dispuesto en el art. 2.3 del Código civil y, consiguiente, se ajusta a lo dispuesto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Auto de 3 de junio de 2016 la Sala de lo Social del Tribunal Superior de Justicia de Madrid acordó plantear ante el Tribunal Constitucional cuestión de inconstitucionalidad en relación con la disposición adicional decimosexta, apartado 4, de la Ley 27/2011, de 1 de agosto, sobre actualización, adecuación y modernización del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3 de junio de 2016 interesa destacar los siguientes aspectos: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a los efectos del art. 5.3 de la Ley Orgánica del Poder Judicial (LOPJ) indica que no cabe por vía interpretativa acomodar la norma al ordenamiento constitucional, dados los términos de la disposición adicional decimosexta, apartado 4, de la Ley 27/2011, acogidos por la disposición transitoria duodécima del Real Decreto-ley 3/2012, de 10 de febrero, y por su disposición final cuarta.10. Y el procedimiento de despido colectivo comenzó el día 1 de junio, después del 27 de abril, y finalizó el día 9 de junio, dictándose la resolución administrativa de autorización de la extinción de los contratos el día 17 de junio. “En caso de que se considerase inconstitucional el punto 4 de la Disposición Adicional 16 de la Ley 27/2011 y concordantes, es claro que las liquidaciones practicadas serían nulas ya que expresamente se sustentan en aquella disposición, así como la Resolución que las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descarta la pertinencia para resolver la presente cuestión de las resoluciones judiciales aducidas por el Abogado del Estado. También rechaza su argumento de que no se trata de una norma restrictiva de derechos individuales en el sentido del art. 9.3 CE: “La obligación impuesta a la empresa, en los supuestos contemplados en la Ley, no es ciertamente una obligación de carácter tributario, pero si es una prestación de contenido económico por razones de política social a la que será exigible similares garantías constitucionales que a la obligación tributaria misma, dado su contenido oneroso”.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rechaza la insinuación de la parte actora de que las negociaciones se iniciaron antes del día 27 de abril, pues el procedimiento se inicia propiamente al presentar la solicitud ante la autoridad laboral. Igualmente rechaza la interpretación de que la disposición adicional decimosexta de la Ley 27/2011 sea aplicable a los procesos iniciados a partir del 27 de abril y terminados después de la entrada en vigor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“se está en presencia de una situación jurídica desarrollada hasta su término, sobre la que se proyecta el efecto retroactivo de una Ley que entró en vigor con posterioridad. En tales supuestos de retroactividad máxima es exigible que la norma contemple elementos cualificados del bien común (STC 126/1987 y STC 233/2015) y que queden explicados en el preámbulo de la Ley así como también, explicada la retroactividad misma y su alcance (STC 233/2015, recurso 5012-2013, STC 105/2015, recurso 6066-2012, STC 48/2015 y STC 183/2014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en cuanto a las exigencias cualificadas del bien común afirma que “tanto el preámbulo de la Ley 27/2011, como el de la Ley 3/2012 (que asume la Disposición Adicional 16 de la Ley anterior) y en el Real Decreto 1484/2012 de 29 de octubre que los desarrolla se encuentran explicaciones exhaustivas de la finalidad que persiguen como respuesta a una situación de crisis económicas sin precedentes”. Así pues, concluye que la norma contempla explícitamente exigencias cualificadas de bien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otra es su conclusión en relación con la específica previsión de retroactividad: “Sin embargo, no sucede lo mismo con la exigencia de una explicación de la retroactividad misma que permita descartar que la fecha señalada de 27 de abril de 2011 no es caprichosa o arbitraria. … Ni en el preámbulo de la Ley 3/2012, ni en el del Real Decreto 1484/2012 se encuentra referencia alguna a la aplicación retroactiva de la Ley. Podría ciertamente sostenerse que, en el presente supuesto, en el contexto de la situación económica catastrófica que se describe, y en función de la finalidad que la Ley persigue, que no es otra que la de obtener unos recursos económicos suficientes para afrontar con carácter urgente aquella situación protegiendo sobre todo al colectivo de trabajadores de más edad, su aplicación retroactiva no precisaría de una explicación adicional, porque si se está contemplando los despidos colectivos iniciados a partir del 27 de abril de 2011, lo es, evidentemente, por la repercusión en el coste social de las extinciones contractuales, y la fecha concreta elegida no es caprichosa ni arbitraria dado el número considerable de despidos colectivos previsibles, y aún, que la fecha del 27 de abril de 2011, es proporcionada y razonable, dada su proximidad relativa a la fecha de promulgación de la Ley (2 de agosto de 2011), siguiendo el razonamiento de la STC 126/1987 … y razonablemente previsible una reacción legislativa excepcional ante una situación de crisis igualmente excepcional. Pero ante la falta de una indicación explícita en las normas que se han analizado, no permite a la Sala, por elementales consideraciones de seguridad jurídica abordar el fondo de la cuestión debatida sin que se haya dilucidado si la Disposición Adicional 16 en su apartado 4 cumple o no con las exigencias constitucionales de seguridad jurídica 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2016,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11 de octubre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y tras recordar la doctrina constitucional sobre el control externo que ejerce este Tribunal sobre el llamado juicio de relevancia, la Fiscal General señala que la entidad demandante construyó su petición considerando prioritario que se analizase la constitucionalidad de la norma por establecer una retroactividad prohibida por el ordenamiento y contraria al art. 9.3 CE, y subsidiariamente solicitó la estimación de la demanda por transcurso de los plazos de prescripción y por inexistencia de beneficios del grupo en los dos años anteriores al inicio del despido. No obstante, a juicio de la Fiscal General, la Sala de lo Social promovente de la cuestión aceptó acríticamente ese planteamiento y se abstuvo de analizar tanto la prescripción como la inexistencia de beneficios también aducida, cuestiones cada una con entidad suficiente para acoger la tesis de la demanda y conllevar la irrelevancia de la retroactividad prevista en la norma y de cuya constitucionalidad se dudaba. Tal modo de proceder no se acomoda a la doctrina del Tribunal Constitucional como se deduce del ATC 131/2016, FJ 3, dictado en un supuesto en el que también se aducía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 cuanto al fondo, tras señalar la doctrina constitucional relativa a la retroactividad de las normas tributarias [SSTC 182/1997, FJ 11 d), y 121/2016, FJ 4], la Fiscal General del Estado afirma que esa doctrina puede servir para enjuiciar la constitucionalidad de la disposición cuestionada que también contempla una aportación económica al Tesoro Público. Con carácter previo indica que dicha aportación económica, aunque con regulación distinta, ya existía en el ordenamiento jurídico español (art. 51.15 del estatuto de los trabajadores) y, por tanto, era aplicable en el momento en el que se aprobó el expediente de regulación de empleo. Por otra parte, señala que las extinciones se fueron sucediendo a medida que los trabajadores iban quedando incluidos en su ámbito de aplicación o, como se dice en el acuerdo, de forma gradual hasta la fecha definitiva de conclusión del mismo, fijado el día 31 de diciembre de 2013. También debe tenerse en cuenta que en la norma cuestionada [letra d) del número 1] se establece la necesidad de que los trabajadores afectados de 50 años o más de edad no hubiesen sido recolocados en el plazo de seis meses. Estos extremos, afirma la Fiscal General, sucedieron con posterioridad a la fecha de entrada en vigor de la norma cuestionada (agosto de 2011) tratándose de prestaciones periódicas que se han ido desembolsando a lo largo del tiempo, también con posterioridad a la entrada en vigor de la norma cuestionada. Ello pone de manifiesto que no se trata de un supuesto de retroactividad auténtica o de grado máximo, sino de una retroactividad impropia o de grado medio, pues, aun cuando el hecho que dio lugar al nacimiento de la obligación de aportación económica es anterior al momento de entrada en vigor de la norma (el 1 de junio de 2011), los hechos jurídicos determinantes de la aportación se concretaron con posterioridad a la entrada en vigor y se han ido renovando anualmente con posterioridad. Al tratarse de este tipo de retroactividad, deben ponderarse de un lado la seguridad jurídica y, de otro, las circunstancias concretas que concurren, esto es, la finalidad de la medida y las circunstancias relativas a su grado de previsibilidad e importancia cuantitativa.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 la norma no es otra que la de garantizar la viabilidad del sistema de protección del desempleo, en un momento de masiva destrucción de puestos de trabajo. La aportación se impone exclusivamente a las grandes empresas que llevan a cabo importantes ajustes de plantilla teniendo beneficios económicos, ajustes que generan un descomunal coste en el sistema de protección de desempleo, que además expulsan prematuramente del mercado de trabajo a trabajadores con enormes dificultades para una ulterior reincorporación. Tampoco cabe dudar de la previsibilidad de la medida, pues, de un lado, la tramitación de la Ley fue anterior y coetánea a la iniciación del expediente de regulación de empleo, su necesidad venía siendo reclamada desde tiempo atrás por distintos interlocutores sociales, por el informe de evaluación del Pacto de Toledo, por las instancias europeas ante la fragilidad del sistema de Seguridad Social, el Pacto de Toledo, los Consejos Europeos de Lisboa, Estocolmo, Gotemburgo, Barcelona y Bruselas, como se puede leer en la exposición de motivos. Y respecto a la importancia cuantitativa de la aportación económica, no ha sido analizada en comparación a la situación precedente, al ignorarse la que debía haber sido objeto de aportación de no haberse producido la modificación legislativa: en el proceso subyacente solo se adujo la cifra de la aportación económica requerida, aportación elevada, pero también fue elevado el número de trabajadores afectados por las extinciones, en total 698 y también elevada fue la cifra de las prestaciones y cotizaciones satisfechas según se hace constar en la propuesta de resolución de 27 de noviembre de 2015. No otra fue la postura del órgano judicial promovente que, en su Auto de planteamiento, entendió justificada la norma y su alcance retroactivo.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Fiscal General del Estado solicita que el Pleno de este Tribunal dicte Auto inadmitiendo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Madrid respecto de la disposición adicional decimosexta, apartado 4, de la Ley 27/2011, de 1 de agosto, sobre actualización, adecuación y modernización del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mencionada disposición adicional decimosexta regula la aportación económica al Tesoro Público que deben efectuar las empresas que realicen despidos colectivos de acuerdo con lo establecido en el artículo 51 del estatuto de los trabajadores, y que incluyan a trabajadores de 50 o más años de edad. El apartado 4, único cuestionado en este proceso, establece que “[l]o previsto en esta disposición será de aplicación a los expedientes de regulación de empleo iniciados a partir del 27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promotor de la cuestión considera que el apartado 4 de la disposición adicional decimosexta puede ser contrario a los principios de seguridad jurídica y de interdicción de la arbitrariedad del art. 9.3 CE. Por el contrario, la Fiscal General del Estado ha interesado la inadmisión de la cuestión de inconstitucionalidad planteada por un doble motivo, por incumplimiento de los requisitos procesales y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alega que en la presente cuestión de inconstitucionalidad concurren los dos motivos de inadmisión. Por lo que respecta al primero, señala que la entidad recurrente no solo solicitó en el proceso a quo el análisis de constitucionalidad de la retroactividad de la norma que se la había aplicado mediante las liquidaciones de la aportación económica debida al Tesoro, también solicitó la estimación de la demanda por transcurso de los plazos de prescripción y por inexistencia de beneficios del grupo empresarial en los dos años anteriores al inicio del despido. No obstante, a juicio de la Fiscal General, la Sala de lo Social promovente de la cuestión se abstuvo de analizar tanto la prescripción como la inexistencia de beneficios, cuestiones cada una con entidad suficiente para amparar la pretensión impugnatoria de la demandante, de forma que, de ser posteriormente apreciadas cualquiera de ellas, conllevaría la inmediata anulación de las resoluciones impugnadas y, con ello, la irrelevancia de la retroactividad prevista en la norma y de cuya constitucionalidad se duda en el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la Fiscal General del Estado, en nuestro reciente ATC 131/2016, de 21 de junio, FJ 3, abordamos una cuestión de inconstitucionalidad promovida por un órgano judicial sin haberse pronunciado previamente sobre la prescripción de la acción alegada por la parte demandada. Las consideraciones que entonces efectuamos son también aplicables al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ha señalado la STC 84/2012, de 18 de abril, FJ 3, “el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mismo en que la cuestión se plantea ni de los presupuestos procesales que le sirven de base, pues, por esa vía indirecta, estaría resolviendo el Tribunal un problema de legalidad ordinaria —en este caso, la admisión o inadmisión a trámite del recurso de suplicación en cuyo seno se plantea la cuestión— para lo que, obviamente, carece de jurisdicción y de competencia [SSTC 196/1987, de 11 de diciembre, FJ 2; 186/1990, de 15 de noviembre, FJ 2, y 110/1993, de 25 de marzo,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ni en la providencia por la que se acuerda oír a las partes y al Ministerio Fiscal, ni en el posterior Auto de planteamiento, la Sala ha razonado por qué la alegación por la parte recurrente de la prescripción de la acción ejercida por la parte demandada o de su inaplicabilidad, por la falta de concurrencia de alguno de sus presupuestos materiales, no impediría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la citada STC 84/2012, de 18 de abril, FJ 3,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(SSTC 17/1981, de 1 de junio, FJ 1; 141/2008, de 30 de octubre, FJ 6, y 115/2009, de 30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alegada la prescripción y la inaplicabilidad —por falta de alguno de sus presupuestos materiales— de la obligación de aportación económica al Tesoro Público en el escrito de demanda que inicia el proceso origen de la presente cuestión de inconstitucionalidad, la inexistencia de un razonamiento de la Sala que permitiera entender que no existe tal prescripción o tal inaplicabilidad nos conduce a concluir que no se ha satisfecho el juicio de relevancia exigido por el art. 35 LOTC, lo que hace procedente el pronunciamiento de inadmisión de la cuestión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