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16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2015, la Procuradora de los Tribunales doña Isabel Alfonso Rodríguez, en nombre y representación de doña Ángela Berguillo Alguacil, don Carlos Munter Domec, don Rubén Molina Marín y don Francisco José Cobos García, interpuso recurso de amparo contra la Sentencia núm. 161/2015, de 17 de marzo, de la Sala Segunda del Tribunal Supremo, confirmada por Auto de 19 de mayo de 2015, de esa misma Sala, que desestimó el incidente de nulidad de actuaciones formulado contra aquella. La Sentencia que se impugna estimó el recurso de casación interpuesto por el Fiscal y, revocando la sentencia absolutoria de primera instancia dictada por la Sección Primera de la Sala de lo Penal de la Audiencia Nacional de 7 de julio de 2014, condenó a los ahora recurrentes y a otras de las personas acusadas en la instancia, como autores de un delito contra las instituciones del Estado del art. 498 del Código penal, a la pena a cada uno de tres años de prisión e inhabilitación especial para el derecho de sufragio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al amparo del art. 56 de la Ley Orgánica del Tribunal Constitucional (LOTC), la suspensión cautelar de la Sentencia, en concreto la pena privativa de libertad, que lleva aparejada penas de tres años de prisión, alegando que su ejecución produciría a los recurrentes un perjuicio irreversible que haría perder al amparo su finalidad así como la suspensión no causaría perjuicios a otros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28 de noviembre de 2016, acordó la admisión a trámite de la demanda de amparo y la formación de pieza separada para la tramitación del incidente sobre la suspensión solicitada, así como conceder a los recurrentes y al Ministerio Fiscal el plazo común de tres días para que alegasen lo que estimasen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9 de diciembre de 2016, la representación de los demandantes de amparo presentó ante este Tribunal su escrito de alegaciones reiterando los argumentos esgrimidos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15 de diciembre de 2016, presentó alegaciones en las que, tras hacer referencia a la jurisprudencia de este Tribunal sobre el particular, interesó que se accediera a la suspensión de la pena de prisión, atendiendo: (i) a la duración de la pena impuesta a los demandantes y el tiempo que requiere normalmente la tramitación de un proceso de amparo como el presente; (ii) al hecho de que los recurrentes hayan permanecido en libertad durante la tramitación del proceso de origen y de que los órganos judiciales hayan efectuado diversos pronunciamientos sobre su culpabilidad en las distintas instancias; (iii) a que no conste que recurrentes sean personas con antecedentes; y (iv) a la circunstancia, en relación con los posibles intereses de terceros que se verían afectados por la no ejecución de la pena de prisión, de que el principal afectado, el Parlamento de Cataluña, personado como acusación particular en la causa, haya apoyado, según los demandantes, la solicitud de indulto. Dicho lo cual, deja a criterio de este Tribunal la valoración de la necesidad de adoptar, en este momento procesal, la medida de suspensión si, como se indica en la propia demanda, subsiste la suspensión de ejecución de las penas acordadas por la Audiencia Nacional como consecuencia de estar pendiente la decisión sobre el indulto solicitado (art. 56.4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No obstante, el art. 56.2 LOTC dispone, a su vez,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de este Tribunal,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(ATC 195/2016, de 28 de noviembre, FJ 1; en el mismo sentido AATC 116/2015, de 6 de julio, y 2/2016, de 18 de enero,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dichas pautas jurisprudenciales y legales, no puede accederse a la suspensión de la pena privativa de libertad solicitada por los recurrentes y apoyada por el Ministerio Fiscal. Por Auto de la Sala Primera de la Audiencia Nacional de 16 de junio de 2015, se acordó la suspensión de la ejecución de las penas privativas de libertad impuestas a los recurrentes a la espera de la tramitación el indulto solicitado. No concurre, entonces, el presupuesto establecido por el art. 56.2 LOTC, esto es, que la ejecución de la pena hubiere de ocasionar un perjuicio que haría perder al amparo su finalidad, pues la ejecución de las penas privativas de libertad impuestas se encuentran suspendidas. Todo ello con independencia de que la denegación de la suspensión pueda ser modificada en el curso del proceso constitucional si surgieren nuevas circunstancias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