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16 de enero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8 de julio de 2015, la Procuradora de los Tribunales doña Isabel Alfonso Rodríguez, en nombre y representación de don Jordi Raymon Parra, y bajo la dirección de la Letrada doña Laia Serra Perelló, interpuso recurso de amparo contra la Sentencia núm. 161/2015, de 17 de marzo, de la Sala Segunda del Tribunal Supremo, confirmada por Auto de 19 de mayo de 2015 de esa misma Sala que desestimó el incidente de nulidad de actuaciones formulado contra aquella. La Sentencia que se impugna estimó el recurso de casación interpuesto por el Fiscal y, revocando la absolutoria de primera instancia dictada por la Sección Primera de la Sala de lo Penal de la Audiencia Nacional con fecha 7 de julio de 2014, condenó al ahora recurrente y a otras de las personas acusadas en la instancia, como autores de un delito contra las instituciones del Estado del art. 498 del Código penal, a la pena a cada uno de tres años de prisión e inhabilitación especial para el derecho de sufragio durante el tiempo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por providencia de 28 de noviembre de 2016, acordó la admisión a trámite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7 de diciembre de 2016, la representación procesal del demandante de amparo solicitó, tras la admisión del recurso y al amparo del art. 56 de la Ley Orgánica del Tribunal Constitucional (LOTC), que se acuerde la formación de la pieza separada de suspensión cautelar respecto de la pena privativa de libertad que se le imputa de tres años de prisión, alegando que la no suspensión de su ejecución produciría al recurrente un perjuicio irreversible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diciembre de 2016 la Sala Primera de este Tribunal acordó la formación de pieza separada para la tramitación del incidente sobre la suspensión solicitada, así como conceder a los recurrentes y al Ministerio Fiscal el plazo común de tres días para que alegasen lo que estimasen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15 de diciembre de 2016, presentó alegaciones en las que, tras hacer referencia a la jurisprudencia de este Tribunal sobre el particular, interesó que se accediera a la suspensión de la pena de prisión, en atención a: (i) la duración de la pena impuesta a los demandantes y el tiempo que requiere normalmente la tramitación de un proceso de amparo como el presente; (ii) el hecho de que los recurrentes hayan permanecido en libertad durante la tramitación del proceso de origen y de que los órganos judiciales hayan efectuado diversos pronunciamientos sobre su culpabilidad en las distintas instancias; (iii) la falta de constancia de que recurrentes sean personas con antecedentes; y (iv) que el principal afectado, el Parlamento de Cataluña, personado como acusación particular en la causa, haya apoyado, según los demandantes, la solicitud de indulto formulada. Dicho lo cual, deja a criterio de este Tribunal la valoración de la necesidad de adoptar, en este momento procesal, la medida de suspensión si, como se indica en la propia demanda, subsiste la suspensión de ejecución de la pena acordada por la Sala de lo Penal de la Audiencia Nacional como consecuencia de estar pendiente la decisión sobre el indulto solicitado (art. 56.4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19 de diciembre de 2016, la representación procesal de los demandantes de amparo presentó ante este Tribunal escrito de alegaciones reiterándose en los argumentos ya esgrimidos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No obstante, el art. 56.2 LOTC dispone, a su vez,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doctrina de este Tribunal, “si la ejecución de una pena privativa de libertad no reviste carácter efectivo o actual por haber sido aplazada o suspendida, o por haber sido concedida la remisión condicional o la libertad condicional mediante resolución de los órganos judiciales competentes, no concurrirá el presupuesto del que parte el art. 56.2 LOTC, esto es, que la ejecución de la pena hubiere de ocasionar un perjuicio que haría perder al amparo su finalidad” (ATC 195/2016, de 28 de noviembre, FJ 1; en el mismo sentido AATC 116/2015, de 6 de julio, y 2/2016, de 18 de enero,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dichas pautas jurisprudenciales y legales, no puede accederse a la suspensión de la pena privativa de libertad solicitada por el recurrente y apoyada por el Ministerio Fiscal. Por Auto de la Sala Primera de la Audiencia Nacional de 16 de junio de 2015, como así pone de manifiesto el propio recurrente en su escrito solicitando la suspensión de la pena de prisión, se acordó la suspensión de la ejecución de la pena privativa de libertad impuesta, a la espera de la tramitación del indulto solicitado. No concurre, entonces, el presupuesto establecido por el art. 56.2 LOTC, esto es, que la ejecución de la pena hubiere de ocasionar un perjuicio que haría perder al amparo su finalidad, pues se encuentra suspendida. Todo ello con independencia de que la denegación de la suspensión pueda ser modificada en el curso del proceso constitucional si surgieren nuevas circunstancias (art. 57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Deniega la suspensión en el recurso de amparo 4098-2015, promovido por don Jordi Raymond Parra en causa penal.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dos mil diecisiete. a dieciséis de enero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