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5972-2014, promovido por el Consejo de Gobierno de la Junta de Andalucía, y, en su representación y defensa por el Letrada de dicha Junta, en relación con los artículos 4, 5, 6 y 7 y el anexo I del Real Decreto-ley 8/2014, de 4 de julio, de aprobación de medidas urgentes para el crecimiento, la competitividad y la eficiencia. Ha comparecido y formulado alegaciones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octubre de 2014, el Letrado de la Junta de Andalucía, en la representación que legalmente ostenta, promueve recurso de inconstitucionalidad contra los artículos 4, 5, 6 y 7 y el anexo I del Real Decreto-ley 8/2014, de 4 de julio,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aludir al cumplimiento de los requisitos procesales exigibles, la demanda argumenta, en primer término, que la norma impugnada infringe el artículo 86.1 CE, por incumplimiento de los requisitos de “extraordinaria y urgente necesidad” exigidos en el citado precepto constitucional para la utilización de la figura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los motivos alegados en la exposición de motivos de la norma, para su aprobación por la vía del decreto-ley, se encuadrarían dentro de lo que el Tribunal Constitucional califica como de “coyunturas económicas problemáticas”. No se discrepa de la necesidad de las medidas adoptadas, pero sí del carácter extraordinario y urgente de las mismas, especialmente por el hecho de que carecen de inmediatez para dar respuesta a la situación contemplada, dado que algunas de ellas requieren para su efectividad y aplicación, bien de actos posteriores de intervención autonómica, bien del correspondiente complemento reglamentario, o tienen previsiones temporales propias, por lo que no existe adecuación de la norma a su presupuesto habilitante, en cuanto se trata de medidas que no modifican de manera instantánea la situación jurídica existente. En concreto, se cita que los artículos 4, 5 y 7 prevén los efectos de la norma en caso de inactividad de la Administración, en el plazo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partimos de un contexto normativo en el que ya existe una práctica libertad de horarios comerciales, sin que la nueva regulación contenga una novación sustancial, por lo que, para su aprobación podía haberse seguido el procedimiento legislativo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al análisis de fondo de los preceptos impugnados, la demanda plantea la inconstitucionalidad de los artículos 4, 5, 6 y 7 y el anexo I del Real Decreto-ley 8/2014, por exceder del concepto de normativa básica que en esta materia corresponde al Estado al amparo del artículo 149.1.13 CE, e invadir las competencias autonómicas en materia de comercio, contenidas en el art. 58.1.1 del Estatuto de Autonomía para Andalucía (en adelante, EAAnd), que quedarían vacías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en lo que respecta a los artículos 4, 5 y 7 y el anexo I, afirma la demanda que, aun cuando las competencias autonómicas en materia de comercio resultan limitadas por las competencias constitucionalmente reconocidas al Estado que inciden sobre la actividad comercial, tanto en lo relativo a los calendarios y horarios comerciales, como en materia de modalidades de venta y formas de prestación de la actividad comercial, al tratarse de una competencia transversal que puede afectar a una multiplicidad de materias, el título genérico contenido en el artículo 149.1.13 CE no puede ser utilizado por el Estado en un sentido expansivo, que impida la diversidad. Según la jurisprudencia constitucional, en la competencia de dirección de la actividad económica general que corresponde al Estado tienen cabida normas estatales que fijen las líneas directrices y los criterios globales de ordenación de sectores económicos concretos, así como la previsión de acciones o medidas singulares que sean necesarias para alcanzar los fines propuestos dentro de la ordenación de cada sector; si bien el común denominador normativo que encierran las bases, dirigido a asegurar de manera unitaria y en condiciones de igualdad los intereses generales, no puede llegar a tal grado de desarrollo que deje vacías de contenido las correlativas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proyección de tal título competencial sobre la materia que ahora se examina, la jurisprudencia constitucional ha declarado que la fijación de un régimen de libertad de horarios comerciales para determinados establecimientos y zonas, es una opción que, por su carácter de excepción al régimen general en materia de horarios comerciales, precisa de una decisión unitaria y homogénea en el conjunto del Estado, aun cuando la misma se haya formulado con carácter abierto, de forma que su plasmación concreta tendrá lugar a través de las decisiones que al efecto adopte la Comunidad Autónoma, en cuanto titular de la competencia sobre comercio interior. De esa jurisprudencia se desprende que es preciso que la base estatal no agote toda la regulación ni monopolice toda la actuación pública posible sobre la materia, y no lo hace si se limita a establecer que la libertad horaria en esas zonas se efectúe con el alcance geográfico y temporal derivado de la previa decisión autonómica, al calificar ésta determinadas zonas como de gran afluencia turística. Considera la demanda que en el presente supuesto, tales limitaciones a la competencia estatal se transgreden, porque tras la conformación de un plazo para que las Comunidades Autónomas resuelvan y notifiquen, prevé que, transcurrido el mismo, no sólo se entenderá realizada la declaración de zonas de afluencia turística, sino que ésta se extenderá a todo el municipio, con lo que es el Estado el que directamente actuaría, en contra de lo señalado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el artículo 6, que modifica la Ley 7/1996, de 15 de enero, de ordenación del comercio minorista, en lo relativo a la apertura, traslado o ampliación de establecimientos comerciales, la exposición de motivos de la norma indica que se acomete esta reforma en cumplimiento de lo previsto en la Ley 20/2013, de 9 de diciembre, de garantía de la unidad de mercado, que otorgaba un plazo de seis meses para proceder a las modificaciones normativas necesarias para la adecuación de la legislación sectorial vigente a la mencionada Ley de garantía de la unidad de mercado. Considera la demanda que pueden reiterarse aquí los argumentos esgrimidos, en relación con los anteriores preceptos, en cuanto la regulación desborda el concepto de normativa básica e invade las competencias de desarrollo legislativo y ejecución que estatutariamente le corresponden en materia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argumento se añade se añade que la modificación que efectúa el precepto apela a las competencias del Estado previstas en el artículo 149.1.13 y en el artículo 149.1.18 CE, y sin embargo, no existe una justificación constitucional suficiente, pues las bases se encuentran ya en la Directiva 2006/123/CE, de 12 de diciembre de 2006, del Parlamento Europeo y del Consejo, relativa a los servicios en el mercado interior. Por lo tanto, lo que se realiza es una alteración de la relación jurídica entre una Directiva europea (la Directiva de servicios) y la entidad competente en materia de comercio interior para efectuar la transposición de la Directiva, que es la Junta de Andalucía, que ya lo hizo a través de la Ley 3/2010, de 21 de mayo, por la que se modificaban diversas leyes para la transposición en Andalucía de la Directiva de servicios, ya que competencias transversales como las del artículo 149.1.13 y 18 CE no deben utilizarse de forma adjetiva, cuando las bases ya han sido establecidas por una Directiva del Parlamento Europeo y del Consejo, pues con ello se distorsiona el mecanismo competencial de transposición de las directivas europeas, que no se atribuye de forma monopolística al Estado, sino a la entidad político-administrativa con competencias sustantivas directas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afirmando que las modificaciones introducidas por los artículos 4, 5, 6 y 7 y el anexo I del Real Decreto-ley 8/2014 son inconstitucionales por desbordar el concepto de normativa básica e invadir las competencias de desarrollo legislativo y ejecución que estatutariamente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octubre de 2014, el Pleno, a propuesta de la Sección Cuarta, acordó admitir a trámite el presente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Senado, por escrito de su Presidente de 29 de octubre de 2014, acuerda dar por personada a la Cámara en este procedimiento y por ofrecida su colaboración a los efectos del artículo 88.1 LOTC. En idéntico sentido se pronuncia la Mesa del Congreso de los Diputados, en escrito de su Presidente, registrado en fecha 30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30 de octubre de 2014, el Abogado del Estado, en la representación que legalmente ostenta, se personó en el referido recurso y solicitó una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31 de octubre siguiente, el Pleno acordó tener por personado al Abogado del Estado, en la representación que legalmente ostenta y prorrogar en ocho días el plazo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25 de noviembre de 2014 tiene entrada en el registro general de este Tribunal el escrito de alegaciones que formula el Abogado del Estado, en la representación que legalmente ostenta, en el que solicita la desestimación íntegra del recurso de inconstitucionalidad formulado, por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al cumplimiento de los requisitos previstos en el artículo 86.1 CE para la aprobación de la norma a través de la figura legislativa del decreto-ley, señala el Abogado del Estado, tras hacer referencia a la doctrina constitucional en la materia, que el hipotético o discutido carácter estructural de un problema no imposibilita desde el punto de vista jurídico la adopción en un momento dado de medidas legislativas a través de un real decreto-ley si, en consideración a las circunstancias concretas del momento en que se adopta la norma, el Gobierno así lo aprecia justamente, desde la perspectiva del interés general que el Gobierno asume desde su posición institucional. Por otro lado, la exigencia de la inmediatez de las medidas, conforme a la jurisprudencia constitucional, no es obstáculo para que en determinados supuestos pueda aplazarse la aplicación de alguna de las medidas por razones técnicas, de modo que la inmediatez en la respuesta a la situación de extraordinaria y urgente necesidad puede complementarse con alguna cautela de transitoriedad por razones técnicas, siendo así que la jurisprudencia ha estimado que lo verdaderamente importante en estos casos, desde el punto de vista constitucional es que el Decreto-ley produzca una innovación normativa efectiva y no que el régimen jurídico introducido a través del mismo sea completo o definitivo. Se cita al respecto la doctrina contenida en las SSTC 23/1993, 11/2001 y 142/2014.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con una amplia remisión a lo señalado en la doctrina constitucional, que el Tribunal tiene declarada la especial aptitud del decreto-ley para atender a coyunturas económicas problemáticas, para cuyo tratamiento, esta figura legislativa representa un instrumento constitucionalmente lícito, en tanto que pertinente y adecuado para la consecución del fin que justifica la legislación de urgencia. Y asimismo, que la doctrina constitucional ha afirmado que la valoración de la extraordinaria y urgente necesidad de una medida puede ser independiente de su 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las anteriores consideraciones al supuesto que se examina, afirma el Abogado del Estado que el Real Decreto-ley 8/2014 tiene un contenido muy amplio y heterogéneo; si bien el presupuesto habilitante de la extraordinaria y urgente necesidad que justifica todas las disposiciones que lo componen se encuentra debida y extensamente recogido en la exposición de motivos, en la memoria de impacto normativo y en el discurso de convalidación ante el Congreso de la Sra. Vicepresidenta del Gobierno, siendo así que cada bloque normativo cuenta, como se comprueba en el preámbulo del Real Decreto-ley, con una justificación específica de las razones de extraordinaria y urgente necesidad de cada disposición, así como su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justificación global del Real Decreto-ley, la exposición de motivos alude a la aprobación por el Consejo de Ministros de 6 de junio, del plan de medidas para el crecimiento, la competitividad y la eficiencia, que contempla un paquete de medidas con el objetivo de saneamiento fiscal, que impulsen el crecimiento y la competitividad presente y futura de la economía y la financiación empresarial. A través del presente Real Decreto-ley se adoptan medidas legislativas de carácter urgente, necesarias para la ejecución del citado plan, y otro tipo de medidas dirigidas a aumentar la competitividad, fomentar el funcionamiento eficiente de los mercados y mejorar la financiación así como la empleabilidad, en el contexto de superación de una notoria e intensa crisis económica, en este ámbito se incluye las medidas de liberalización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la exposición de motivos como en el debate de convalidación, se pone de manifiesto que la actual situación económica es la causa y razón para adoptar una serie de medidas en los ámbitos antes enunciados, que puedan ponerse en marcha de manera inmediata para aprovechar el impulso de la recuperación económica; se cumple por lo tanto, con los requisitos exigidos por el Tribunal Constitucional, en la medida en que se exteriorizan las causa que justifican la norma, se concretan los objetivos, y se razona la urgencia ante uno de los supuestos en los que el Tribunal ha admitido expresamente esta figura, como son las situaciones de coyuntura económica compleja. En concreto y en lo que respecta a la regulación contenida en los artículos 4 a 7, la regulación de los horarios comerciales responde claramente a las exigencias requeridas para la utilización del decreto-ley, en cuanto se trata de aprovechar las sinergias procedentes de la relación entre el turismo y el comercio, al ser el primero un factor de empuje de la actividad comercial que aumenta la capacidad de generación de empleo y de actividad económica. Y la inmediatez de la entrada en vigor, evitándose una tramitación parlamentaria, incluso por el procedimiento de urgencia, resulta decisiva desde la perspectiva del Gobierno, para el incentivo económico inmediato, con inicio de los plazos concedidos por la misma ley a las Administraciones territoriales competentes para la ejecución y eficacia en el tiempo, y la previsión normativa de las consecuencias de un eventual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considera el Abogado del Estado que el Real Decreto-ley 8/2014 se ajusta a las previsiones del art. 86 CE, en lo que a los artículos 4 a 7 se refiere, que son contra los que se dirigen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competencia del Estado para dictar los preceptos recurridos, señala el Abogado del Estado que la legislación estatal reguladora de los horarios comerciales y en general la normativa relacionada con aspectos propios del comercio minorista, se integra en el ámbito competencial atribuido al Estado por el art. 149.1.13 CE, y así lo ha entendido la jurisprudencia constitucional. La libertad de horarios comerciales, en cuanto a los aspectos propios de regulación, pueden encuadrarse conceptualmente dentro de la realidad económica nacional, como un subsector específico, al que directamente se refiere la regulación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que resulta ajustado a la Constitución es que el Estado, utilizando de manera legítima un título competencial específico, incida, por razones constitucionalmente justificadas, de regulación general uniforme en un área más reducida o subsector específico, incluido bajo la proyección de una competencia autonómica más amplia. Esta posibilidad de incidencia transversal específica, cuando está justificada, por parte del título estatal en el ámbito más general de la competencia autonómica, es doctrina consolidada, en particular en relación con el ámbito de la regulación de los horarios comerciales y de determinados aspectos o áreas de la realidad económico-social del comercio minorista. Se cita al respecto lo señalado en las SSTC 140/2011 y 284/1993. De acuerdo con ello, la regulación por el Estado del régimen jurídico de la libertad de horarios comerciales o de algún aspecto de la realidad socioeconómica, puede formar parte de la categoría de las medidas legislativas susceptibles de ser encuadradas en el concepto de la “ordenación general de la economía” del país y, por tanto, en su caso, llegar a producirse normativa estatal derivada sobre la materia correspondiente, de modo legítimo bajo la cobertura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estatal que los artículo 4 a 7 y el anexo I del Real Decreto-ley 8/2014 vienen a profundizar el alcance liberalizador de los horarios comerciales que se establecía hasta el momento en la legislación estatal vigente (Real Decreto-ley 20/2012, de 13 de julio), legislación de carácter básico, tal y como lo ha declarado la doctrina constitucional; los preceptos vienen pues, tal y como declara la exposición de motivos de la norma, a ampliar el marco general liberalizador de la economía, en este concreto subsector, y participan de la naturaleza de normas básicas, en los términos ya reconocidos por la jurisprudencia constitucional, manteniendo el ámbito de decisión autonómica, sobre la base de los criterios generales que la norma estatal básica regula, a la vez que establece unos plazos de decisión y su consecuencia. Dicha normativa básica no suprime el margen de decisión, provisional o definitiva, de las Administraciones territoriales que intervienen en la declaración de zonas de gran afluencia turística, ni en la competencia para el otorgamiento de las autorizaciones en cada caso, conforme a lo previsto en el artículo 6.5 de la Ley de ordenación del comercio minorista en el sentido redactado por el artículo 6 del Real Decreto-ley 8/2014, por lo que la doctrina constitucional sobre la adecuación de la norma básica en esta concreta materia, resulta aplicable a esta regulación, según su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aprobado el 25 de abril de 2017, el Pleno de este Tribunal acordó estimar justificada la abstención formulada por la Magistrada doña María Luisa Balaguer Callejón.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abril de 2017,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formulado por el Consejo de Gobierno de la Comunidad Autónoma de Andalucía en relación con los artículos 4, 5, 6 y 7 y el anexo I, del Real Decreto-ley 8/2014, de 4 de julio,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más ampliamente ha quedado expuesto en los antecedentes, la Comunidad Autónoma plantea en el presente recurso dos órdenes de cuestiones, que habrán de ser analizadas sucesivamente. La primera tiene relación con la utilización de la figura del decreto-ley, cuestionándose el cumplimiento de los requisitos exigidos por el artículo 86.1 CE, para la utilización de esta figura legislativa. La segunda, desde el punto de vista sustantivo, plantea la inconstitucionalidad de los preceptos controvertidos, por estimar que su regulación excede de la competencia estatal básica que, en materia de ordenación general de la economía, atribuye al Estado el artículo 149.1.13 CE, y la consiguiente vulneración de las competencias autonómicas. El Abogado del Estado, por las razones que han quedado también expuestas en los antecedentes, interesa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y en orden a una delimitación precisa de lo que ha de ser objeto de este pronunciamiento, ha de tomarse en consideración que el Real Decreto-ley 8/2014, de 4 de julio ha sido objeto de dos Sentencias de este Tribunal: la STC 199/2015, de 24 de septiembre, en la que se examinó, entre otros aspectos, la impugnación dirigida contra la totalidad de las medidas contenidas en el mismo, por incumplimiento del presupuesto habilitante de la extraordinaria y urgente necesidad contemplado en el art. 86 CE; y la STC 195/2016, de 16 de noviembre, dictada en el recurso de inconstitucionalidad planteado por el Consejo de Gobierno del Principado de Asturias contra los artículos 4 y 7, en relación con los cuales se alegaba tanto la infracción del presupuesto habilitante exigido por el artículo 86 CE, como la extralimitación de las competencias básicas atribuidas al Estado en el artículo 149.1.13 CE. Ambas Sentencias cobran relevancia en el presente supuesto, dado que en ellas se formulaban impugnaciones que el presente recurso plantea en términos coincidentes, en la medida en que se refieren a los mismos preceptos y se sustentan en idénticos motivos, por lo que la doctrina allí contenida resulta trasladable al presente supuesto y permite responder a una parte de las impugnaciones ahora formuladas por el Consejo de Gobierno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impugnación dirigida contra los artículos 4 y 7 del Real Decreto-ley 8/2014, ha sido ya resuelta por la STC 195/2016, que, en su fundamento jurídico 3 y por remisión a lo dispuesto en la STC 199/2015, vino a rechazar la vulneración del artículo 86 CE y a afirmar la concurrencia tanto del presupuesto habilitante de la extraordinaria y urgente necesidad, como de la conexión de sentido entre la urgencia declarada y las medidas adoptadas para subvenirla. Y en los fundamentos jurídicos 4 a 6 afirmó que estos preceptos han sido dictados en el legítimo ejercicio de la competencia básica que el Estado corresponde al amparo del artículo 149.1.13 CE, y, en consecuencia no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coincidencia objetiva, y de acuerdo con la doctrina constitucional (STC 172/1998, de 23 de julio, FJ 2), procede desestimar la impugnación dirigida contra los artículos 4 y 7 del Real Decreto-ley, siendo suficiente para ello la remisión a los citados fundamentos jurídicos de la STC 195/2016, que cabe dar por reproducidos, lo que nos exime de incluirlos, siquiera sea en extracto (STC 100/2016, de 25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 la impugnación dirigida contra el art. 5 y anexo I, la STC 214/2016, de 15 de diciembre vino a resolver el recurso de inconstitucionalidad formulado por el Gobierno Vasco contra la Ley 18/2014, de 15 de octubre, de aprobación de medidas urgentes para el crecimiento, la competitividad y la eficiencia, disposición legislativa que, como recuerda en su fundamento jurídico 2, “trae causa de la tramitación como proyecto de ley del Real Decreto-ley 8/2014, de 4 de julio, de idéntico enunciado”. La citada Sentencia, en su fundamento jurídico 3 b), desestimó la impugnación dirigida al artículo 5 y el anexo I de la Ley, homólogos del Real Decreto-ley 8/2014, que habían sido recurridos también por exceder de la competencia estatal básica del artículo 149.1.13 CE, señalando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anexo I, ha sido impugnado por conexión con el artículo 4. Al enumerar los municipios que cumplen los criterios para la declaración de zona de gran afluencia turística, dicho anexo no hace otra cosa que completar la ordenación que contempla el artículo 4. De hecho la STC 195/2016 ya analizó la constitucionalidad del art. 4 en la medida en que dicho precepto se remitía al anexo I. Así pues, procede igualmente la desestimación, de acuerdo con los razonamientos expuestos en la STC 195/2016,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5, la razón de su impugnación ha sido, al igual que los artículos 4 y 7, la del pretendido desplazamiento del órgano competente autonómico que supondría. El artículo 5 establece que si, en el plazo de dos meses desde su entrada en vigor, las Comunidades Autónomas competentes no hubiesen declarado al menos una zona de gran afluencia turística en los municipios que reúnan los términos establecidos en una determinada norma estatal, se considerará como tal todo el término municipal y los comerciantes dispondrán de plena libertad para la apertura de sus establecimientos durante todo el año. La regulación del precepto se asemeja a la del párrafo segundo del artículo 4: también aquí se dispone una idéntica consecuencia liberalizadora directa para el supuesto de que las Comunidades Autónomas competentes no hubiesen declarado al menos una zona de gran afluencia turística en determinados municipios (los recogidos en el anexo I). Como ya señaló la STC 195/2016, FJ 6, citando la STC 18/2016, de 4 de febrero, FJ 9, ´regular la plena libertad horaria es una opción a disposición de la Comunidad Autónoma para el caso de que decida no ejercer las posibilidades de regulación que le ofrece la norma estatal, modulando el alcance de la declaración en el sentido de limitar territorial o temporalmente la libertad de apertura que lleva implícita la declaración de zona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aplicación de la citada doctrina, rechazar la impugnación dirigida contra el artículo 5 y el anexo I del Real Decreto-ley 8/2014.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en estos términos el objeto del pronunciamiento, resta pues por examinar la impugnación formulada contra el artículo 6 del Real Decreto-ley 8/2014, únicamente en lo que se refiere a la controversia competencial planteada, dado que la infracción del artículo 86.1 CE, fue ya rechazada por este Tribunal en la STC 199/2015, en relación a la totalidad de las previsiones contenidas en este Real Decreto-ley. El precepto dispone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Modificación de la Ley 7/1996, de 15 de enero, de Ordenación del Comercio Minorista.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artículo 6 de la Ley 7/1996, de 15 de enero, Ordenación del Comercio Minorista,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Apertura, traslado o ampliación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carácter general, la apertura, traslado o ampliación de establecimientos comerciales no estará sujeta a régimen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anterior, la apertura, traslado o ampliación de establecimientos comerciales podrá quedar sometida a una única autorización que se concederá por tiempo indefinido, cuando las instalaciones o infraestructuras físicas necesarias para el ejercicio de la actividad sean susceptibles de generar daños sobre el medio ambiente, el entorno urbano y el patrimonio histórico-artístico, y estas razones no puedan salvaguardarse mediante la presentación de una declaración responsable o de una comunicación previa. El régimen de autorización deberá estar motivado suficientemente en la ley que establezca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autorizaciones o declaraciones responsables para a apertura o ampliación de establecimientos no podrán contemplar requisitos que no estén ligados específicamente a la instalación o infraestructura y deberán estar justificados en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ningún caso podrán establecerse requisitos de naturaleza económica, entre otros, aquellos que supediten el otorgamiento de la autorización a la prueba de la existencia de una necesidad económica o de una demanda en el mercado o a un exceso de oferta comercial, a que se evalúen los efectos económicos, posibles o reales, de la actividad o a que se haga una apreciación de si la actividad se ajusta a los objetivos de programación económica establecidos por la autoridad competente, o aquellos que puedan directa o indirectamente ir dirigidos a la defensa de un determinado modelo económico o empresarial dentro del sector. Asimismo se prohíbe la intervención de competidores en los procedimientos de autorización que en su caso se establezcan para la instalación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regímenes de intervención administrativa se ajustarán a lo previsto en la Ley 17/2009, de 23 de noviembre, sobre el libre acceso a las actividades de servicios y su ejercicio, y a la Ley 20/2013, de 9 de diciembre, de garantía de la unidad de mercado. En concreto, no podrán contener requisitos prohibidos por el artículo 10 de la Ley 17/2009, de 23 de noviembre, ni actuaciones que limiten la libertad de establecimiento y la libertad de circulación del artículo 18 de la Ley 20/2013, de 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otorgamiento de las autorizaciones a que se refieren los apartados anteriores corresponderá a la administración territorial competente. El procedimiento administrativo integrará todos los trámites necesarios para la apertura, traslado o ampliación de los establecimientos comerciales. Las solicitudes presentadas deberán resolverse y notificarse al interesado en un plazo máximo de tres meses, transcurrido el cual se entenderá estimada la solicitud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autorizaciones podrán transmitirse a terceros previa comunicación a la administración otorgante’.”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considera que la regulación contenida en este precepto excede del concepto de normativa básica, que en esta materia corresponde al Estado al amparo de lo dispuesto en el artículo 149.1.13 CE, e invade las competencias autonómicas en materia de comercio, contenidas en el artículo 58.1.1 de su Estatuto de Autonomía. Afirma asimismo que carece de justificación constitucional suficiente la apelación a una normativa básica estatal en esta materia, dado que las bases se encuentran ya en la Directiva 2006/123/CE, de 12 de diciembre de 2006, del Parlamento Europeo y del Consejo, relativa a los servicios del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de la Ley 7/1996, de 15 de enero, de ordenación del comercio minorista, fue en su momento objeto de nueva redacción por el artículo único, apartado segundo de la Ley 1/2010, de 1 de marzo, a su vez posteriormente modificado por el Decreto-ley que ahora se examina, y cuya redacción se incorpora en sus mismos términos a la Ley 18/2014, de 15 de octubre, resultante de la tramitación como proyecto de ley,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puso de manifiesto en la STC 195/2016, FJ 2, esta novación que, en el caso que nos ocupa, supone la sustitución absoluta del Decreto-ley 8/2014, por la Ley 18/2014, no implica la desaparición del objeto del presente proceso constitucional, pues “en cuanto a la tacha competencial denunciada en el proceso, la doctrina de este Tribunal acerca de la pérdida de objeto de los recursos de inconstitucionalidad con contenido competencial es que esta pérdida no se produce cuando la norma es derogada y sustituida por otra que plantea esencialmente los mismos problemas competenciales. Por ello, en la medida en que el recurso discute la competencia estatal para dictar los preceptos impugnados, la controversia trabada no se ve alterada por su sustitución por otros del mismo tenor literal, por lo que subsiste el interés de un pronunciamiento de este Tribunal Constitucional sobre la titularidad de la competencia discutida”, lo que determina pues que debamos entrar en el examen de lo dispuesto en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regulación responde a los mismos criterios que en su momento determinaron la declaración de carácter básico del artículo 6 de la Ley de ordenación del comercio minorista, tanto en su redacción original como en la posterior modificación introducida por la Ley 1/2010, de 1 de marzo, redacciones ambas sobre las que ya se ha pronunciado este Tribunal en diversas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124/2003, de 19 de junio, FJ 3, estableció que el Estado, en virtud de las competencias que le atribuye el artículo 149.1.13 CE, puede dictar normas básicas en materia de establecimientos comerciales y que esas competencias estatales constituyen un límite a las competencias en materia de comercio interior que hayan asumido las Comunidades Autónomas. Tal declaración determinó que la referida Sentencia declarase que los apartados primero y segundo del artículo 6 de la Ley de ordenación del comercio minorista (LOCM), en su redacción original, tenían carácter básico, tanto formal como materialmente.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las SSTC 26/2012, de 26 de marzo, FJ 5, 193/2013, de 21 de noviembre, FJ 3 y 4, y 73/2016, de 14 de abril, han declarado el carácter formal y materialmente básico del artículo 6 LOCM (en la redacción dada por el artículo único, apartado segundo, de la Ley 1/2010, de 1 de marzo). Las citadas Sentencias llegan a la referida conclusión al considerar que el Estado al amparo de sus competencias, en particular la relativa a la ordenación general de la economía que le atribuye el artículo 149.1.13 CE, puede establecer un marco más flexible y transparente para el acceso y ejercicio de las actividades de servicios y disponer que deben limitarse todos aquellos regímenes de autorización que no estén justificados por una razón imperiosa de interés general y asegurar, de este modo, que los controles administrativos previos para el ejercicio de una actividad, en este caso la comercial, no constituyan obstáculos indebidos para el acceso al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157/2016, FJ 8, recogiendo la doctrina anterior, y sin entrar a efectuar un análisis pormenorizado de la redacción dada a este artículo 6 por el Real Decreto-ley 8/2014 y por la Ley 18/2014, viene no obstante a concluir que, en todo caso, el requisito que exige una justificación basada en razones imperiosas de interés general para poder establecer restricciones a la apertura, traslado o ampliación de establecimientos comerciales, tiene carácter básico y constituye un legítimo ejercicio de la competencia sobre las bases de la ordenación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conduce a la desestimación de la presente impugnación, pues las razones que allí llevaron a la declaración del carácter básico de este precepto, son trasladables al presente supuesto, habida cuenta de que el mismo viene a profundizar en el proceso de simplificación y racionalización de los procedimientos de autorización seguidos en el ámbito del comercio minorista, y las modificaciones que se introducen afectan a aspectos muy concretos: la inclusión de una referencia expresa a la regla general de no sometimiento a autorización administrativa en la apertura de establecimientos comerciales, por lo que, en su defecto podrá someterse a declaración responsable o comunicación previa; el sometimiento a regulación básica, además de la apertura, de las restantes actuaciones relacionadas con los establecimientos comerciales, como son, los traslados y ampliaciones; la concreción de las razones imperiosas de interés general, ajustándolas a las previstas en el artículo 17.1 b) de la Ley 20/2013; y el establecimiento de un procedimiento integrado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y ampliamente reconocida por la doctrina constitucional la legítima competencia del Estado para dictar normas básicas en materia de establecimientos comerciales, al amparo de lo dispuesto en el artículo 149.1.13 CE, decae también el argumento contenido en la demanda, conforme al cual no existe una justificación suficiente para apelar a las normas básicas estatales en esta materia que, a su juicio ya se encuentran en la Directiva 2006/1237CE, de 12 de diciembre, relativa a los servicios del mercado interior. Y ello porque, como reiteradamente hemos señalado, la intervención del derecho comunitario europeo no altera el reparto constitucional interno de competencias en una materia y no nos corresponde verificar la corrección de la afirmación de que la normativa europea absorbe la regulación básica de un concreto ámbito material, dado que nuestro enjuiciamiento debe circunscribirse a determinar si las concretas normas impugnadas pueden considerarse o no dictadas en el legítimo ejercicio de la competencia que la Constitución atribuye al Estado (en sentido similar, STC 34/2013, FJ 7)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5972-2014, y al que se adhiere el Magistrado don Cándido Conde-Pumpido Tourón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defendida por la mayoría del Pleno de este órgano jurisdiccional, expreso mi disentimiento con la fundamentación y el fallo de la Sentencia dictada, que debió de estimar el recurso de inconstitucionalidad núm. 5972-2012 presentado por el Consejo de Gobierno de la Junta de Andalucía y, en razón de ello, declarar la inconstitucionalidad y nulidad de la integridad de los preceptos impugnados del Real Decreto-ley 8/2014, de 4 de julio, de aprobación de medidas urgentes para el crecimiento, la competitividad y la eficiencia, por la vulneración de lo prevenido en el art. 86.1 CE por esa norma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por las que considero que, en su conjunto, el mencionado Real Decreto-ley 8/2014 se extralimitó de manera plena con las exigencias que el aludido art. 86.1 CE establece para el ejercicio regular y constitucionalmente válido por el Gobierno de ese poder legislativo excepcional quedaron puestas de manifiesto en el Voto particular que en su momento formulamos la Magistrada doña Adela Asua Batarrita, el Magistrado don Juan Antonio Xiol Ríos y yo mismo a la STC 199/2015, de 24 de septiembre, al que me remito ahora en su totalidad. En aquella ocasión, los magistrados discrepantes renunciamos a entrar en una detallada crítica a la ausencia del presupuesto habilitante respecto de las numerosas y heterogéneas regulaciones contenidas en aquella norma de urgencia, concluyendo que su dictado afectaba a la calidad de nuestro Estado democrático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Algo más de un año después de la formulación de este intenso disenso, la Magistrada doña Adela Asua Batarrita y quien suscribe volvimos a manifestar nuestra discrepancia con la STC 195/2016, de 16 de noviembre, que validó los arts. 4 y 7 del tan mencionado Real Decreto-ley 8/2014, dejando constancia en el correspondiente Voto particular de la completa ausencia del presupuesto habilitante para dictar las medidas estatuidas en los referidos preceptos. Dijimos entonces que los cambios llevados a cabo por esos pasajes legales en el régimen de las zonas de gran afluencia turística a efectos de liberalización de horarios comerciales, consistentes en ampliar los umbrales de población y pernoctaciones determinantes de la declaración de esa condición, fijando un plazo de 6 meses a fin de que las Comunidades Autónomas procedieran a la puesta en vigor de la normativa alterada, no podían aceptarse en modo alguno como circunstancia de extraordinaria y urgente necesidad ex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recordado, las razones de fondo ahí argumentadas en relación con dos de los preceptos legales impugnados en el presente proceso constitucional, los arts. 4 y 7, pueden y deben extenderse ahora sin reserva ni matización alguna, de un lado, al art. 5 y al anexo 1, cuyo contenido coincide en lo sustancial con el que resolvió la STC 195/2016, y, de otro, al artículo 6, que modifica el artículo homónimo de la Ley 7/1996, de 15 de enero, de ordenación del comercio minorista, relativo al régimen de apertura, traslado o ampliación de establecimientos comerciales. Son éstas unas alteraciones legislativas que, al estilo de lo acontecido con aquellas otras, se distancian por completo de las exigencias que el tan mencionado artículo 86.1 CE pide para el ejercicio constitucionalmente conforme de esa excepcional potestad normativa atribuida al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abril de dos mi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respecto de la Sentencia dictada en el recurso de inconstitucionalidad núm. 5972-2014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con su fallo, que considero que hubiera debido ser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como también hice constar en el Voto particular que formulé a la STC 195/2016, de 16 de noviembre, es coincidente con la que ya fue expuesta en el Voto particular formulado a la STC 199/2015, de 24 de septiembre, al que me remito, en que se defendía que el Real Decreto-ley 8/2014, de 4 de julio, en su conjunto, vulneraba el art. 86.1 CE por no concurrir la situación de extraordinaria y urgente necesidad exigible para este tipo de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abril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