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51</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6 de abril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recurso de amparo núm. 6345-2016 se impugna la Sentencia de la Sala de lo Penal del Tribunal Supremo recaída en recurso de casación núm. 918-2016 contra la dictada por la Sección Primera de la Audiencia Provincial de Teruel en recurso de rollo de Sala núm. 21-2015.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4 de abril de 2017 el Magistrado don Cándido Conde-Pumpido Tourón comunicó a los efectos oportunos que se abstenía de intervenir en el antes indicado recurso de amparo, de conformidad con el art. 80 de la Ley Orgánica del Tribunal Constitucional, por concurrir la causa de abstención prevista en el art. 219.11 de la Ley Orgánica del Poder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Cándido Conde-Pumpido Tourón Magistrado de esta Sección Primera del Tribunal Constitucional, la Sección, en virtud de lo previsto en el artículo 219.11 de la Ley Orgánica del Poder Judicial, supletoria de la Ley Orgánica del Tribunal Constitucional (art. 80), estima justificada la causa de abstención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Cándido Conde-Pumpido Tourón en el recurso de amparo núm. 6345-2016,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abril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