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25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2003-2014, promovido por el Parlamento de Andalucía, se impugnan diversos preceptos de la Ley 27/2013, de 27 de diciembre, de racionalización y sostenibilidad de la Administración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6 de abril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165/2014, de 12 de marzo, sobre el recurso de inconstitucionalidad que pretendía plantear la Comunidad Autónoma de Andalucía en relación con diversos preceptos de la Ley 27/2013, de 27 de diciembre, de racionalización y sostenibilidad de la Administración local.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la Comunidad Autónoma de Andalucía del recurso de inconstitucionalidad dirigido contra diversos preceptos de la Ley 27/2013, de 27 de diciembre, de racionalización y sostenibilidad de la Administración local, lo que puede integrarse en la causa del art.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inconstitucionalidad núm. 2003-2014,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