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5 de junio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septiembre de 2016 tuvo entrada en el registro general del Tribunal Constitucional un escrito del Juzgado de lo Contencioso-Administrativo núm. 1 de Jerez de la Frontera (recurso núm. 802-2015), al que se acompañaba, junto al testimonio del correspondiente procedimiento, el Auto de 25 de julio de 2016, por el que se acordaba plantear una cuestión de inconstitucionalidad con relación al artículo 107 del texto refundido de la Ley reguladora de las haciendas locales (LHL), aprobado por el Real Decreto Legislativo 2/2004, de 5 de marzo, por presunta vulneración del principio de capacidad económica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mercantil Rentas y Vitalicios, S.L., dedicada a la promoción inmobiliaria, adquirió nueve terrenos en 2003, 2005, 2007 y 2008, construyendo en los mismos, y procediendo posteriormente a su enajenación en 2014, aunque vendiendo los terrenos a un precio inferior su coste de adquisición.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consecuencia de las anteriores transmisiones el Ayuntamiento de Jerez de la Frontera le giró nueve liquidaciones por el concepto de impuesto sobre el valor de los terrenos de naturaleza urbana.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considerar la mercantil recurrente que no había existido un aumento de valor de los terrenos, contra las liquidaciones anteriores interpuso los correspondientes recursos de reposición que fueron desestimados por decreto del teniente de Alcalde, delegado de economía, con fecha de 19 de mayo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Promovido un recurso contencioso-administrativo (núm. 802-2015) contra el anterior decreto ante el Juzgado de lo Contencioso-Administrativo núm. 1 de Jerez de la Frontera, y una vez concluso el correspondiente procedimiento, mediante providencia con fecha de 8 de junio de 2015 se dio traslado a las partes y al Ministerio Fiscal para que alegasen sobre la posible inconstitucionalidad de la norma de valoración objetiva establecida en el artículo 107 del Real Decreto Legislativo 2/2004, de 5 de marzo, por el que se aprueba el texto refundido de la Ley de haciendas locales, pero sólo en la medida que grava capacidades económicas no reales, en contra del principio de capacidad económica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Evacuado el trámite de alegaciones conferido, tanto la parte recurrente (mediante escrito registrado el día 23 de junio de 2016) como el Ministerio Fiscal (por informe de 16 de junio de 2016) no se opusieron a su planteamiento. Por su parte, el Ayuntamiento de Jerez de la Frontera (también por escrito de 24 de junio de 2016), se opuso al citado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del Auto de planteamiento de la cuestión de inconstitucionalidad, el órgano judicial proponente, tras precisar los antecedentes de hecho, delimitar la forma de cuantificación del incremento del valor de los terrenos de acuerdo con las previsiones del Real Decreto Legislativo 2/2004 y subrayar el alcance del principio de capacidad económica del artículo 31.1 CE en la doctrina constitucional (STC 194/2000), considera que la resolución administrativa impugnada pone de manifiesto con nitidez la situación planteada, pues reconoce que el citado Real Decreto Legislativo 2/2004 solo admite como resultado en el impuesto sobre el incremento del valor de los terrenos de naturaleza urbana la existencia de cuotas positivas. Según el Juzgado promotor de la cuestión, el artículo 107 del citado texto legal acoge una regla para la determinación de los incrementos de valor que tiene un carácter imperativo, sin que exista ningún precepto que prevea la posibilidad de utilizar otro método alternativo de cuantificación.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según el órgano judicial, la entidad recurrente en el proceso a quo adquirió unos terrenos en un momento de alza en los precios en el mercado inmobiliario, ajustándose las ponencias de valores en el municipio a tales precios, para luego, en una situación de bajada sustancial y sostenida de los precios, transmitirlos. Sin embargo, el precepto cuestionado no contempla el supuesto de una minusvaloración en la venta de inmuebles, determinando siempre un incremento de valor por el que tributar, lo que parece contravenir la doctrina del Tribunal Constitucional sobre el principio de capacidad económica, como requisito de partida de toda prestación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ley atribuye, en todo caso, un resultado positivo de incremento de valor por la aplicación de unas reglas de determinación de la base imponible que no pueden dejar de aplicarse, dado su carácter imperativo. No contempla la posible existencia de una minusvaloración al momento de la transmisión de los inmuebles, con lo que estaría haciendo depender la prestación tributaria de situaciones que no son expresivas de capacidad económica y, en consecuencia, estaría sometiendo a tributación manifestaciones de riqueza no ya potenciales, sino inexistentes o ficticias.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fecha 31 de enero de 2017, el Pleno de este Tribunal acordó admitir a trámite la cuestión planteada y, de conformidad con lo previsto en el artículo 10.1 c) de la Ley Orgánica del Tribunal Constitucional (LOTC), deferir a la Sala Segunda, a la que por turno le ha correspondido, el conocimiento de la cuestión, dando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34, de 9 de febrero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16 de febrero de 2017 se recibió una comunicación del Presidente del Senado por la que se trasladaba a este Tribunal el acuerdo de personación de esta Cámara en el procedimiento y por ofrecida su colaboración a los efectos del artículo 88.1 LOTC. Posteriormente, por escrito registrado el día 17 siguiente se recibió otra comunicación de la Presidenta del Congreso de los Diputados por la que se ponía también en conocimiento de este Tribunal el acuerdo de personación de esta Cámara en el procedimiento y por ofrecida su colaboración a los efectos del artículo 88.1 LOTC, con remisión a la Dirección de Estudios, Análisis y Publicaciones, y a la asesoría jurídica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de alegaciones en el registro general de este Tribunal el día 28 de febrero de 2017. En este escrito, y con carácter previo al análisis de los vicios de inconstitucionalidad imputados a las normas cuestionadas, realiza dos precisiones previas: i) El artículo 107 LHL cuestionado, como reconoce el propio órgano judicial promotor de la cuestión, no sería inconstitucional en todo caso, sino solo en la medida que no hubiese un incremento de valor ni real ni cierto; para que dicho artículo sea contrario a la Constitución deberá partirse de que en el supuesto concreto haya quedado demostrado dicho presupuesto: que el incremento de valor del terreno es inferior al resultante de la aplicación de las reglas previstas en el mismo. ii) Aun cuando en el Auto de planteamiento se cuestiona el citado artículo 107 LHL, en su totalidad, sin embargo, al estarse en presencia de una liquidación por la transmisión en ejecución hipotecaria de dos fincas, debería quedar fuera del planteamiento el apartado 2, subapartados b), c) y d), de ese precepto, pues no serían relevantes para adoptar una resolución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hechas las anteriores precisiones, pasa el Abogado del Estado a analizar la denunciada inconstitucionalidad del artículo 107 LHL. Señala a tal fin que este precepto, en la redacción que le ha dado la Ley 51/2002, establece que la base imponible estará constituida por el “incremento del valor de los terrenos” puesto de manifiesto en el momento del devengo y experimentado a lo largo de un período máximo de veinte años; a diferencia de la redacción anterior a la Ley 51/2002, que señalaba que la base imponible era el “incremento real del valor de los terrenos”. Para el Abogado del Estado, antes de la reforma, el legislador había configurado la determinación del incremento real mediante la utilización de una regla de valoración que sólo podía ofrecer un valor referencial; lo que justificaba que un contribuyente pudiese impugnar la liquidación si podía acreditar la ausencia de un incremento gravable. Por el contrario, tras la reforma, al haberse suprimido el término “real”, no se está condicionando nada. Aunque se evidencie “por una revisión catastral de los terrenos” que el contribuyente ha obtenido una minusvalía, siempre va a existir una renta potencial gravable; por lo que el principio de capacidad económica quedaría siempre a salvo. El fundamento del impuesto no es gravar el incremento “real” provocado por la diferencia de precios de venta y compra, sino la riqueza potencial, esto es, el incremento del valor del terreno experimentado por la acción urbanística del municipio en el que se encuentra, devolviendo a la colectividad parte del beneficio obtenido con fundamento en el artículo 47 CE, que dispone que “la comunidad participará en las plusvalías que genera la acción urbanística de los entes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el valor del terreno a tomar en consideración es el que tenga determinado al momento de la transmisión a efectos del impuesto sobre bienes inmuebles, esto es, el valor catastral, habiendo asumido así el legislador unos criterios objetivos para la fijación de la base imponible del impuesto, que no atienden a las circunstancias particulares o subjetivas. En este sentido, el artículo 107 de la Ley de haciendas locales dispone que la base imponible del impuesto se determinará aplicando al valor del terreno a efectos del impuesto sobre bienes inmuebles, es decir, el valor catastral. Se trata de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siempre con total independencia de la ganancia real obtenida con la transmisión del terreno. Aunque el legislador pudo escoger entre diversas fórmulas para determinar el incremento de valor del terreno como, por ejemplo, el precio de la transmisión o el valor de mercado, sin embargo, optó por calcular el incremento del valor con relación al valor catastral. Prefirió establecer una regla de determinación de la base imponible que ni es presuntiva ni probatoria, sino objetiva (disociada de la realidad), lo que simplifica su determinación, aunque pueda dar lugar a un base inferior o superior al incremento real del terreno.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entonces, para el Abogado del Estado,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se aprecie un incremento del valor del terreno. Pero ello no es contrario, a su juicio, al principio de capacidad económica del artículo 31.1 CE.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de su valor durante los cinco años siguientes a su revisión; de otro, la actualización, incluso a la baja, de los valores catastrales.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el valor catastral del bien inmueble se tiene en cuenta para calcular la base imponible del impuesto sobre el incremento del valor de los terrenos (como también es la base del impuesto sobre bienes inmuebles y el valor que se toma como referencia en el impuesto sobre la renta de las personas físicas y en el impuesto sobre el patrimonio), subraya el Abogado del Estado, que si se considera que los valores catastrales están mal determinados, ello no es un problema de capacidad económica, sino de articular los mecanismos previstos en la normativa vigente para impugnar esos valores.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 escrito de alegaciones en el registro de este Tribunal el día 16 de marzo de 2017, considerando que procede declarar que los artículos 107.1 y 2 a), y 110.4 del texto refundido de la Ley reguladora de las haciendas locales, aprobado por el Real Decreto Legislativo 2/2004, de 5 de marzo, son inconstitucionales y nulos, pero “únicamente en la medida que someten a tributación situaciones de inexistencia de incremento de valor”, al no permitir a las corporaciones locales prescindir de la regla de cálculo legalmente establecida, aunque en las transmisiones de los terrenos de naturaleza urbana se produzca una minusvaloración en el momento de la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precisar los antecedentes de hecho del planteamiento de la cuestión, el contenido del precepto cuestionado, el cumplimiento de los requisitos procesales, las dudas de constitucionalidad manifestadas por el órgano promotor de la cuestión y la estructura del impuesto sobre el incremento del valor de los terrenos de naturaleza urbana, subraya el Fiscal General del Estado que este Tribunal ha dictado las SSTC 26/2017, de 16 de febrero, y 37/2017, de 1 de marzo, con relación, respectivamente, a los artículos 1, 4 y 7.4 de las Normas Forales 16/1989, de 5 de julio, y 46/1989, de 19 de julio, reguladoras del impuesto sobre el incremento del valor de los terrenos de naturaleza urbana en los territorios históricos de Gipuzkoa y Álava. Los ha declarado inconstitucionales y nulos, pero “únicamente en la medida que someten a tributación situaciones de inexistencia de incremento de valor”. Pues bien, puesto que la redacción de los apartados de los preceptos cuestionados en el presente caso es idéntica a la de las Normas Forales declaradas inconstitucionales y dado que las dudas expuestas por el órgano judicial también son idénticas a las ya analizadas en las Sentencias citadas, procede declarar igualmente la inconstitucionalidad y nulidad del artículo 107.1 y 2 a) de la Ley reguladora de las haciendas locales, “únicamente en la medida que someten a tributación situaciones de inexistencia de incremento de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el Fiscal General del Estado que aun cuando el órgano judicial se ha limitado a cuestionar el artículo 107 de la Ley de haciendas locales, en la providencia de audiencia previa al planteamiento de la cuestión declaraba también aplicable a la controversia el artículo 110.4 de la misma Ley, que impide tomar en consideración los supuestos de decremento del valor, habiendo sido objeto de las alegaciones de las partes y del Ministerio Fiscal. Sin embargo, la obligación de las corporaciones locales de estar a las reglas del impuesto “sin admitir prueba en contrario” es consecuencia de la redacción del artículo 110.4, razón por la cual, en las Sentencias citadas se declaró también inconstitucional el artículo 7.4 de las Normas Forales enjuiciadas. Aunque en el posterior Auto de planteamiento no exista referencia alguna al citado artículo 110.4, el artículo 39.1 LOTC permite extender la declaración de inconstitucionalidad, “por conexión o consecuencia”, a otros preceptos de la misma Ley, lo que debería producirse en este caso al existir una íntima conexión entre las reglas de determinación de la base imponible y ese artículo 110.4, que impide a las corporaciones locales prescindir de la regla de cálculo legalmente establecida, aun cuando se haya producido una minusvaloración del valor del terreno en el momento de la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el Fiscal General del Estado que debe declararse la inconstitucionalidad y nulidad de los artículos 107.1, 107.2 a) y 110.4 del texto refundido de la Ley reguladora de las haciendas locales, aprobado por el Real Decreto Legislativo 2/2004, de 5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de 24 de enero de 2017, el Magistrado don Juan Antonio Xiol Ríos comunicó su voluntad de abstenerse en el conocimiento de la presente cuestión de inconstitucionalidad, por entenderse incluido en el epígrafe 10 del artículo 219 de la Ley Orgánica del Poder Judicial (tener interés indirecto en la causa). Por ATC 17/2017, de 31 de enero, el Pleno de este Tribunal acordó estimar justificada la abstención formulada, apartándole definitivamente del conocimiento de la cuestión y de todas sus incidencias.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Jerez de la Frontera ha planteado una cuestión de inconstitucionalidad en relación con el artículo 107 del texto refundido de la Ley reguladora de las haciendas locales, aprobado por el Real Decreto Legislativo 2/2004, de 5 de marzo (en adelante, LHL), por posible infracción del principio de capacidad económica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dar respuesta a la duda que se plantea en el presente proceso constitucional hemos de precisar que, como señala el Abogado del Estado, aun cuando se cuestiona por el órgano judicial el artículo 107 LHL en su totalidad, en la medida en que la liquidación impugnada en el proceso a quo deriva de la transmisión onerosa de unos terrenos, deben quedar fuera del objeto las letras b), c) y d) de su apartado 2. En ellas se acogen las reglas para la determinación del valor de terreno en la constitución y transmisión de derechos reales de goce limitativos del dominio [letra b)]; en la constitución o transmisión del derecho a elevar una o más plantas sobre un edificio o terreno, o del derecho de realizar la construcción bajo suelo sin implicar la existencia de un derecho real de superficie [letra c)]; y en las expropiaciones forzosas [letra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no ser de aplicación al supuesto de hecho del que trae causa el presente proceso constitucional, dado que el órgano judicial no ha fundado su aplicabilidad ni tampoco la medida en la que la decisión del proceso a quo depende de la validez de los apartados b), c) y d) del artículo 107.2 LHL, estos deben quedar excluidos del objeto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 el Juzgado de lo Contencioso-Administrativo núm. 1 de Jerez de la Frontera que la ley atribuye, en todo caso, un resultado positivo (un incremento de valor) por la aplicación de unas reglas de determinación de la base imponible que no pueden dejar de aplicarse (dado su carácter imperativo), no contemplando la posible existencia de una minusvaloración al momento de la transmisión de los inmuebles. Con ello estaría haciendo depender la prestación tributaria de situaciones que no son expresivas de capacidad económica y, en consecuencia, sometiendo a tributación manifestaciones de riqueza no ya potenciales, sino inexistentes o ficticias.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sin embargo, que se confunde el “valor real” con el “valor catastral”, pues el tributo no pretende gravar incrementos reales, al haber optado el legislador por calcular el incremento de valor derivado de la transmisión de un bien inmueble de naturaleza urbana de forma objetiva, sin atender a las circunstancias del caso concreto. Esto permite que incluso quien transmita un inmueble por un precio inferior al de adquisición, habiendo obtenido una pérdida económica, tenga un incremento de valor sometido a tributación. A su juicio, la circunstancia de que con la transmisión se evidencie una minusvalía, no convierte al tributo en contrario al principio de capacidad económica del artículo 31.1 CE y, por tanto, en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con fundamento en las SSTC 26/2017, de 16 de febrero, y 37/2017, de 1 de marzo, relativas a los artículos 1, 4 y 7.4, respectivamente, de las Normas Forales 16/1989, de 5 de julio, y 46/1989, de 19 de julio, reguladoras del impuesto sobre el incremento del valor de los terrenos de naturaleza urbana en los territorios históricos de Gipuzkoa y Álava, considera que debe declararse la inconstitucionalidad y nulidad de los artículos 107.1, 107.2 a) y 110.4 LHL, “únicamente en la medida que someten a tributación situaciones de inexistencia de incremento de valor”; habida cuenta que la redacción de los preceptos ahora cuestionados es idéntica a la declarada inconstitucional en aquellas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tenido la ocasión de pronunciarse recientemente en la STC 59/2017, de 11 de mayo, sobre la constitucionalidad de los artículos 107.1, 107.2 a) y 110.4, del citado texto refundido aprobado por el Real Decreto Legislativo 2/2004, de 5 de marzo, argumentando que al establecer el legislador la ficción de que ha tenido lugar un incremento de valor susceptible de gravamen al momento de toda transmisión de un terreno por el solo hecho de haberlo mantenido el titular en su patrimonio durante un intervalo temporal dado, soslayando, no solo aquellos supuestos en los que no se haya producido ese incremento, sino incluso aquellos otros en los que se haya podido producir un decremento en el valor del terreno objeto de transmisión, lejos de someter a tributación una capacidad económica susceptible de gravamen, les estaría haciendo tributar por una riqueza inexistente, en abierta contradicción con el principio de capacidad económica del citado artículo 31.1 CE (FJ 3). En esa Sentencia llegamos a la conclusión de que el tratamiento que otorgaba la norma cuestionada a los supuestos de no incremento o, incluso, de decremento, en el valor de los terrenos de naturaleza urbana, carecía de toda justificación razonable, al imponer a los sujetos pasivos del impuesto la obligación de soportar la misma carga tributaria que corresponde a las situaciones de incremento derivados del paso del tiempo, sometiendo con ello a tributación situaciones de hecho inexpresivas de capacidad económica, en abierta contradicción con el principio de capacidad económica que la Constitución garantiza en su artículo 31.1 (FJ 3). Por esta razón, los declaramos inconstitucionales y nulos, aunque únicamente en la medida que sometían a tributación situaciones inexpresivas de capacidad económica, impidiendo a los sujetos pasivos poder acreditar esta circunstancia [FJ 5 a) y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circunstancia de que con posterioridad a la admisión a trámite de la presente cuestión haya recaído en otro proceso promovido por el mismo órgano judicial (cuestión núm. 4864-2016), una Sentencia de este Tribunal declarando la inconstitucionalidad y consiguiente nulidad de los preceptos aquí cuestionados (la STC 59/2017, de 11 de mayo), conlleva necesariamente la desaparición sobrevenida del objeto de la presente cuestión, pues ya ha quedado disipada la duda de constitucionalidad planteada, no siendo necesario un nuevo pronunciamiento por parte de este Tribunal, como consecuencia del valor de cosa juzgada y plenos efectos frente a todos de nuestras Sentencias ex artículos 164.1 CE y 38.1 de la Ley Orgánica del Tribunal Constitucional (por todas, STC 48/2017, de 27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puesto que los preceptos cuestionados en el presente proceso constitucional han sido ya expulsados del ordenamiento en los términos señalados anteriormente, una vez anulados por inconstitucionales, hemos de apreciar la desaparición sobrevenida del objeto de la presente cuestión (por todas, STC 48/2017,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4868-2016 en relación con el artículo 107 del texto refundido de la Ley reguladora de las haciendas locales, aprobado por el Real Decreto Legislativo 2/2004, de 5 de marzo,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