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febrero de 2017 tuvo entrada en el registro general de este Tribunal un escrito al que se acompañaba el Auto de la Sección Primera de la Sala de lo Contencioso-Administrativo del Tribunal Superior de Justicia del País Vasco de 12 de enero de 2017, por el que se acordaba plantear una cuestión prejudicial sobre la validez del artículo 14.5 de la Norma Foral 12/1989, de 5 de julio, del impuesto de bienes inmuebles de Gipuzkoa, en la redacción dada por el artículo 1 de la Norma Foral 4/2012, de 4 de julio. Se adjuntaba, asimismo, testimonio de las actuaciones que han dado origen a la cuestión (recurso de apelación núm. 665-2016 interpuesto contra la Sentencia del Juzgado de lo Contencioso-Administrativo núm. 3 de Donostia-San Sebastián de 28 de abril de 2016, recaído en el procedimiento abreviado núm. 492-2015).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“Tratándose de bienes inmuebles de uso residencial que no constituyan la residencia habitual del sujeto pasivo o de terceros por arrendamiento o cesión de su uso, los ayuntamientos podrán exigir un recargo de hasta el 150 por 100 de la cuota líquida del Impuesto. Dicho recargo, que se exigirá a los sujetos pasivos de este tributo, se devengará en el mismo momento que el impuesto sobre el que se aplica y se liquidará anualmente, conjuntamente con la cuota.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la aplicación del presente recargo, se entenderá por inmuebles de uso residencial los locales que estén recogidos como de uso o destino de vivienda en el Catastro. Se incluirán los anexos a la vivienda siempre que formen una finca registral única. A los mismos efectos, se presumirá que un inmueble de uso residencial es residencia habitual cuando a fecha de devengo del impuesto, en el padrón del municipio donde radique la vivienda conste que constituye la residencia habitual de su o sus ocupantes.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los ayuntamientos podrán establecer en sus ordenanzas fiscales supuestos a los que no resulte de aplicación el recargo previsto en 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resolución del Ayuntamiento de Zarautz de 28 de septiembre de 2015 fueron desestimados los recursos de reposición formulados por una serie de contribuyentes contra las liquidaciones del impuesto sobre bienes inmuebles (en adelante, IBI) correspondientes al ejercicio 2015, que incluían el recargo previsto en el artículo 14.5 de la Norma Foral 12/1989.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citada resolución fue objeto de un recurso contencioso-administrativo en el que se demandaba la anulación de las liquidaciones y la declaración de nulidad del apartado de la ordenanza municipal que regula el recargo aplicable a la cuota líquida del IBI para inmuebles de uso residencial que no constituyan la residencia habitual del sujeto pasivo o de un tercero, interesando la elevación de la cuestión al Tribunal Constitucional para que dilucidara si es acorde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la Sentencia del Juzgado de lo Contencioso-Administrativo núm. 3 de Donostia-San Sebastián de 28 de abril de 2016, según la cual no cabe sostener la duda de constitucionalidad basada en la contradicción con la legislación estatal, puesto que la norma controvertida se enmarca en el ámbito de regulación foral, habiéndose aprobado en el ejercicio de las potestades reconocidas a los territorios forales por la disposición adicional primera de la Constitución. Tampoco considera fundadas las alegaciones de los recurrentes sobre la vulneración de los principios de seguridad jurídica, capacidad de pago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mencionada Sentencia fue objeto de un recurso de apelación en el que se interesaba que, previo planteamiento de una cuestión sobre la constitucionalidad del artículo 14.5 de la Norma Foral 12/1989, se dictara sentencia revocando la de instancia. Los recurrentes afirmaban que este precepto vulnera el artículo 31.1 CE, puesto que establece un recargo en el IBI que consideran basado en el criterio del empadronamiento, lo que introduce un agravio comparativo entre residentes y no residentes. Añaden que dicha norma crea realmente un impuesto nuevo que contradice lo previsto en el texto refundido de la Ley reguladora de las haciendas locales (Real Decreto Legislativo 2/2004, de 5 de marzo), pues el recargo que permite establecer a los ayuntamientos es tres veces mayor que el recogido en la norma estatal (art. 72.4 del citado texto refundido) que, además, —afirman— todavía no ha entrado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declarado concluso el procedimiento, mediante providencia de 29 de septiembre de 2016, se acordó oír a las partes y al Ministerio Fiscal sobre la conveniencia de plantear una cuestión prejudicial de validez acerca del artículo 14.5 de la Norma Foral 12/1989, en relación con los principios de seguridad jurídica y reserva de ley en materia tributaria (arts. 9.3 y 133.1 y 2 CE), así como de capacidad de pago e igualdad en la imposición de los tributos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presentó un escrito el día 25 de octubre de 2016 en el que consideraba pertinente el planteamiento de la cuestión prejudicial, sin perjuicio del informe que pudiera emitirse en su día por la Fiscalía General del Estado. Tras formular los juicios de aplicabilidad y relevancia, que consideraba cumplidos, concluía que la norma plantea dudas con relación a los principios de seguridad jurídica, reserva de ley, capacidad de pago e igualdad en la imposición de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de 2 de noviembre de 2016 el Ayuntamiento de Zarautz se opuso al planteamiento de la cuestión prejudicial, alegando que: i) el único interés de la parte apelante es que se plantee la cuestión; ii) en todo caso, debe oírse a las Juntas Generales de Gipuzkoa, como institución responsable de la norma controvertida; iii) no hay vulneración de los principios de seguridad jurídica y reserva de ley, pues no existe contradicción entre el artículo 14.5 de la Norma Foral 12/1989 y el Real Decreto Legislativo 2/2004, negando, asimismo, que el empadronamiento opere como una presunción iuris et de iure, puesto que es factible desvirtuarla; y iv) tampoco se infringen los principios de capacidad de pago e igualdad en la imposición de tributos, ya que, con el recargo debatido, no se introduce ninguna discriminación que sea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último, los recurrentes presentaron sus alegaciones el día 3 de noviembre de 2016 en las que, remitiéndose a lo razonado en el recurso de apelación, instaban el planteamiento de la cuestión sobre el artículo 14.5 de la Norma Foral 12/1989, por entender que el fallo que debía pronunciarse depende de la validez de dicha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empieza descartando la alegación del Ayuntamiento de Zarautz según la cual los recurrentes sólo pretenden el planteamiento de la cuestión prejudicial, puesto que los actos administrativos impugnados se han dictado en aplicación de una ordenanza que reproduce el contenido del artículo 14.5 de la Norma Foral 12/1989, por lo que el interés de la apelante va más allá de dicho planteamiento, resultando que esta norma es aplicable al caso y determinante del fallo, de forma que se superan los juicios de aplicabilidad y relevancia. Añade, en cuanto a la necesidad de escuchar a las Juntas Generales de Gipuzkoa, que dicho trámite se sustanciará en el proceso constitucional, conforme prevé la disposición adicional quinta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continuación, expone el marco normativo aplicable e indica que una previsión similar al controvertido artículo 14.5 de la Norma Foral 12/1989 ha sido aprobada en los territorios históricos de Bizkaia y Álava/Araba, aunque con diferencias en cuanto al importe máximo del recargo que se permite establecer a los ayuntamientos. Asimismo, encuadra el recargo en el precedente del artículo 72.4 del Real Decreto Legislativo 2/2004, destacando que, a pesar del tiempo transcurrido desde su aprobación, todavía no ha sido aplicado, por no haberse desarrollado reglamentariamente el concepto de “inmuebles de uso residencial que se encuentren desocupados con carácter permanente”. Aclara que diversas sentencias de los Tribunales han despejado cualquier duda sobre la competencia para efectuar tal desarrollo, que en el territorio común corresponde al Estado. Y pone de manifiesto varias diferencias entre ambas disposiciones como son: i) la norma foral no requiere un ulterior desarrollo reglamentario, a diferencia del artículo 72.4 del Real Decreto Legislativo 2/2004; ii) la norma estatal toma como elemento objetivo que el inmueble residencial “se encuentre desocupado con carácter permanente”, en tanto que la norma foral amplía el recargo a todos los inmuebles residenciales “que no constituyan la residencia habitual del propietario o de terceros por arrendamiento o cesión de uso”, lo que se presume a partir del empadronamiento; y iii) por último, la cuantía del recargo cambia, siendo de hasta el 150 por 100 en la Norma Foral 12/1989 y de un máximo del 50 por 100 en el artículo 72.4 del Real Decreto Legislativo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vista de lo anterior, explica las dudas de constitucionalidad que se le suscitan, comenzando por los principios de seguridad jurídica y reserva de ley en materia tributaria (arts. 9.3 y 133.1 y 2 CE). En primer término, desestima el argumento de los apelantes de que el artículo 14.5 de la Norma Foral 12/1989 contradice el artículo 72.4 del Real Decreto Legislativo 2/2004, pues ambas normas tienen distintos ámbitos competenciales y los Territorios Históricos pueden regular el sistema tributario local, de acuerdo con lo previsto en el concierto económico, en particular, su artículo 39, referido al IBI. Aclarado lo cual, la Sala afirma que el recargo discutido es una obligación tributaria accesoria de la obligación principal de satisfacer la cuota del IBI y que su delimitación también queda sujeta a la reserva de ley. El problema radica, a su juicio, en que el artículo 14.5 de la Norma Foral 12/1989 no define el hecho generador del recargo, es decir, el uso residencial no habitual, sino que “dispone el medio de prueba de ese hecho por remisión al Padrón del municipio atribuyendo, además, a ese censo un valor de prueba que excede el alcance de la presunción establecida en el artículo 53.1 del Real Decreto 1690/1986, de 11 de julio, por el que se aprueba el Reglamento de Población y Demarcación Territorial de las Entidades Locales”. Así, considera que el recargo se asienta en un concepto, el uso residencial habitual, que la norma no define con la suficiente certeza, sino que “lo suplanta o diluye en el valor, simplemente instrumental o de prueba, de la inscripción en el Padrón del municipio”. De esta forma, mientras que el dueño del inmueble residencial en el que aparezcan empadronados él mismo o terceros gozará del favor de la presunción de residencia, el dueño de un inmueble en el que no estén empadronados ni él ni terceros “se enfrentará en vano a la prueba del mismo hecho por los medios ordinarios, pues no sabrá con certeza a qué atenerse”. Según la Sala, esta indeterminación no puede subsanarse por remisión al concepto de residencia habitual previsto en el concierto económico, ni al de la normativa del impuesto sobre la renta de las personas físicas (IRPF), ni tampoco al concepto civil de domicilio. Tras lo cual el órgano judicial se pregunta “hasta qué punto puede la prestación accesoria (el recargo) exceder de la principal”, de manera que podríamos hallarnos —añade— frente a un impuesto nuevo que grava las viviendas que no constituyen la residencia habitual del sujeto pasivo o de terceros, lo que podría ser contrario a los artículos 9.3 y 133.1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Desde la perspectiva del artículo 31.1 CE las dudas del órgano judicial parten de que el recargo, a pesar de su finalidad extrafiscal, que no pone en duda, debería recaer sobre alguna fuente de capacidad económica. Y si bien está claro cuál es esta fuente en el IBI, resulta que el recargo está gravando la falta de ocupación del inmueble, el que este no constituya residencia habitual, y el Tribunal tiene dudas de que una única circunstancia, cual es la relativa al lugar del empadronamiento, sea determinante de una mayor capacidad económica. Le llama la atención, además, la desproporción del recargo, lo que puede afectar al principio de igualdad tributaria, poniendo en tela de juicio que la diferencia de trato entre dos titulares de inmuebles por el hecho de la residencia habitual respete dicho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afirmando que “en el caso que nos ocupa resulta dudosa la constitucionalidad del recargo que impone la Norma Foral toda vez que, llegando a poder suponer hasta un 150 por 100 de la cuota líquida del Impuesto, no obedece a una fuente de capacidad económica cualitativamente distinta de aquella sobre la que recae el Impuesto y, además, lo hace en atención a un criterio exclusivo, el del empadronamiento (ajeno a aquellos que sirven para la fijación de la base imponible), que determina un tratamiento sustancialmente distinto entre quienes se encuentran en una situación comparable prescindiendo de la introducción de elementos correctores o que contribuyan a una mejor justificación de tal tratamiento diferenciado”.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expuesto, de acuerdo con los artículos 35 y 36 LOTC, la Sala de lo Contencioso-Administrativo del Tribunal Superior de Justicia del País Vasco acuerda plantear una cuestión prejudicial de validez respecto del artículo 14.5 de la Norma Foral 12/1989, por posible infracción de los principios de seguridad jurídica y reserva de ley en materia tributaria (arts. 9.3 y 133.1 y 2 CE), así como de capacidad de pago e igualdad en la imposición de tributos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2017 la Sección Cuarta acordó, a los efectos que determina el artículo 37.1 LOTC, oír al Fiscal General del Estado para que, en el plazo de diez días, alegara lo que considerara conveniente acerca de la admisibilidad de la presente cuestión prejudicial de validez,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30 de mayo de 2017 interesando la inadmisión de la cuestión por resultar notoriamente infundada,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manifestar que se cumplen los presupuestos procesales exigibles, analiza la primera objeción planteada por el órgano judicial, referida a los principios de seguridad jurídica y reserva de ley en materia tributaria (arts. 9.3 y 133.1 y 2 CE). A este respecto, considera que la norma cuestionada sí contiene los elementos esenciales requeridos para garantizar la reserva de ley, pues define el hecho imponible que genera la obligación del recargo, la base imponible, el tipo de gravamen, el sujeto pasivo y el devengo. Tras recordar que el principio de reserva de ley en materia tributaria tiene mayor flexibilidad que en el ámbito sancionador, con cita de la STC 121/2005, FJ 5, afirma que las dudas que expone el Auto son realmente de interpretación del alcance que debe darse al concepto de residencia habitual, lo que no puede convertirse —añade— en el objeto de la cuestión, como recuerda la STC 40/2014, FJ 2. A su juicio, la falta de desarrollo en la norma del término “residencia habitual” no impide a los órganos judiciales que conozcan de los recursos contra los actos de aplicación del recargo precisar el alcance de dicho concepto, para lo que pueden utilizar los criterios generales de interpretación, especialmente, la finalidad del precepto. Además, el Tribunal promotor no expresa por qué, si considera que el hecho del empadronamiento es una presunción iuris tantum, como se desprende del artículo 104.1 de la Norma Foral general tributaria de Gipuzkoa, no pueden emplearse otros medios para acreditar la residencia habitual, con el alcance que corresponda, ya que el órgano judicial no está vinculado por la interpretación mantenida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principios de capacidad de pago e igualdad en la imposición de tributos (art. 31.1 CE), el Fiscal General del Estado entiende que la titularidad de una vivienda con y sin empadronamiento no constituyen términos homogéneos de comparación, a efectos del juicio de igualdad. Destaca que la propia Sala reconoce que un inmueble que no es residencia habitual del titular ni de terceros es indicativo de una especial capacidad económica, lo que se refuerza —continúa afirmando— a la vista de que el recargo enjuiciado presenta una finalidad extrafiscal, dirigida a promocionar el acceso a la vivienda, lo que debe tenerse en cuenta a la hora de enjuiciar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escrito de alegaciones afirmando que la cuestión planteada carece de solidez en la fundamentación de las dudas de constitucionalidad, por lo que interesa que, teniendo por cumplimentado el traslado conferido en virtud del artículo 37.1 LOTC, se dicte auto inadmitiéndola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del País Vasco plantea una cuestión prejudicial de validez respecto del artículo 14.5 de la Norma Foral 12/1989, de 5 de julio, del impuesto de bienes inmuebles de Gipuzkoa, en la redacción dada por el artículo 1 de la Norma Foral 4/2012, de 4 de julio, cuyo tenor literal se ha reproducido en los antecedentes. En relación con esta misma norma se han planteado también las cuestiones núms. 640-2017 y 641-2017, siendo la única diferencia entre las tres el período impositivo al que se refieren las liquidaciones tributarias que dan origen al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se opone, por las razones expuestas en los antecedentes, a la admisión a trámite de la cuestión, por estimarla notoriamente infundada, con arreglo al artículo 37.1 de la Ley Orgánica 2/1979, de 3 de octubre, del Tribunal Constitucional (LOTC, en adelante), de acuerdo con el cual, el Tribunal puede rechazar en trámite de admisión mediante Auto, sin otra audiencia que la del Fiscal General del Estado, la cuestión de inconstitucionalidad cuando fuera notoriamente infundada; precepto que resulta aplicable a las cuestiones prejudiciales de validez sobre normas forales fiscales de los Territorios Históricos, por remisión expresa de la disposición adicional quinta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AATC 145/2016, de 19 de julio, FJ 3, y 42/2017, de 28 de febrero, FJ 3). Pues bien, como se razonará a continuación, en el presente caso las dudas de constitucionalidad planteadas resultan manifiestamente infundadas. De ahí que, como solicita el Fiscal General del Estado, la cuestión deba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norma cuestionada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del País Vasco. El artículo 39 del concierto prevé que “[e]l Impuesto sobre Bienes Inmuebles se regulará por las normas que dicten las instituciones competentes de los Territorios Históricos y gravará los bienes de naturaleza rústica y urbana sitos en su respectivo Territorio Histórico”. Así pues, en los Territorios Históricos del País Vasco, el impuesto sobre bienes inmuebles (IBI) se regula por las normas forales que aprueben las instituciones competentes, con sujeción a la Constitución y a los principios generales y reglas de armonización y colaboración contenidas en el concierto (artículos 2, 3 y 4). No hay que olvidar que las normas forales fiscales son “un tipo singular de normas reglamentarias …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118/2016, de 23 de junio,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aun cuando la Constitución autoriza a los Territorios Históricos a establecer y regular su propio régimen tributario, han de hacerlo, tanto en el marco de la Constitución y del Estatuto de Autonomía (EAPV), como de acuerdo con las previsiones del concierto económico (art. 41.1 EAPV) y de las leyes del Estado en materia tributaria [art. 41.2 a) y c) EAPV], las cuales no son “meramente habilitadoras para el ejercicio de una potestad tributaria que originariamente sólo corresponde al Estado”, sino también “leyes ordenadoras” de los tributos que integran aquel régimen tributario propio, “porque la Constitución encomienda aquí al legislador no sólo el reconocer un ámbito de autonomía al ente territorial, sino también garantizar la reserva legal que ella misma establece (art. 31.3)” [STC 118/2016, de 23 de junio,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artículo 72.4, párrafos tercero y cuarto, del Real Decreto Legislativo 2/2004 habilita a los ayuntamientos a exigir un recargo sobre los inmuebles de uso residencial que se encuentren desocupados con carácter permanente “por cumplir las condiciones que se determinen reglamentariamente”. Al amparo de esta ordenación legal, el artículo 14.5 de la Norma Foral 12/1989, de 5 de julio, del impuesto sobre bienes inmuebles de Gipuzkoa, según redacción dada por la Norma Foral 4/2012, de 4 de julio, que se ha transcrito en los antecedentes, establece la posibilidad de que los ayuntamientos apliquen un recargo en la cuota líquida del IBI, conforme a las siguientes reglas: i) recaerá sobre los “inmuebles de uso residencial que no constituyan la residencia habitual del sujeto pasivo o de terceros por arrendamiento o cesión de su uso”; ii) el sujeto pasivo será el mismo que el del IBI; iii) la cuantía del recargo será de hasta el 150 por 100 de la cuota líquida del citado impuesto; y iv) su devengo coincidirá con el del IBI, liquidándose anualmente, conjuntamente con la cuota de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la norma guipuzcoana especifica que “[a] efectos de la aplicación del presente recargo, se entenderá por inmuebles de uso residencial los locales que estén recogidos como de uso o destino de vivienda en el Catastro”, aclarando que “se presumirá que un inmueble de uso residencial es residencia habitual cuando a fecha de devengo del impuesto, en el padrón del municipio donde radique la vivienda conste que constituye la residencia habitual de su o sus ocupantes”. A lo que añade que “los ayuntamientos podrán establecer en sus ordenanzas fiscales supuestos a los que no resulte de aplicación el recargo previsto en 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adelantado, la redacción del precepto cuestionado proviene de la Norma Foral 4/2012, de 4 de julio, en cuyo preámbulo se justificaba la modificación del recargo por la situación de crisis económica y la necesidad de ingresos, destacando que la finalidad de la nueva redacción es “regular la aplicación del recargo de viviendas vacías contemplado en el apartado 5 del artículo 14 desde una vertiente distinta, cual es la de aplicar el citado recargo no sobre el concepto de vivienda vacía, sino sobre el concepto de vivienda que no constituye residencia habitual de un residente en el municipio donde se ubica. De esta manera se supera el difícil problema de la determinación del concepto de vivienda vacía que, remitido a desarrollo reglamentario, no ha visto la luz por su difícil concepción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en la redacción previa a su modificación por la Norma Foral 4/2012 el recargo recaía sobre los “inmuebles de uso residencial que se encuentren desocupados con carácter permanente, por cumplir las condiciones que se determinen reglamentariamente”, sin que, mientras tuvo esta redacción, llegara a aplicarse, por no haberse dictado en el territorio histórico de Gipuzkoa norma alguna de desarrollo, al igual que ha sucedido con el recargo previsto en el artículo 72.4 del Real Decreto Legislativo 2/2004 que, aún hoy, gira en torno al inmueble de uso residencial “que se encuentre desocupado con carácter permanente, por cumplir las condiciones que se determinen reglamentariamente”, lo que, en ausencia del citado desarrollo, ha impedido su puesta en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la Ordenanza fiscal núm. 1 del Ayuntamiento de Zarautz, reguladora del IBI, reproduce en su apartado III el artículo 14.5 de la Norma Foral 12/1989, concretando el porcentaje del recargo dentro del máximo previsto, para fijarlo en un 100 por 100 para el año 2013 y en un 150 por 100 para 2014 y 2015; además, en uso de la habilitación contenida en el párrafo tercero del artículo 14.5 de la Norma Foral 12/1989, establece determinadas exenciones al recargo (entre otras, declara exentas las viviendas afectas a actividades dadas de alta en la matrícula del impuesto sobre actividades económicas; aquellas cuya titularidad corresponda a personas empadronadas en residencias de la tercera edad; las que formen parte de una herencia, durante el período de dos años a contar desde el fallecimiento; las ubicadas en edificios declarados en ruina; y las que acrediten un consumo mínimo de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órgano promotor de la cuestión alberga dos dudas fundamentales sobre la constitucionalidad del artículo 14.5 de la Norma Foral 12/1989. La primera le lleva a preguntarse si los principios de seguridad jurídica (art. 9.3 CE) y reserva de ley tributaria (arts. 31.3 y 133.1 y 2 CE) no resultan infringidos al carecer la norma de una definición de “residencia habitual”, lo que impide al contribuyente saber qué debe probar para demostrar que no se produce el hecho imponible del recargo. Según la Sala, la norma sólo establece el medio de prueba de la “residencia habitual” mediante el empadronamiento, al que atribuye un valor que excede del que le reconoce el Reglamento de población y demarcación territorial de las entidades locales (Real Decreto 1690/1986,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hemos adelantado en el fundamento anterior, la norma cuestionada debe incardinarse en el ámbito de competencias tributarias de los Territorios Históricos del País Vasco, en particular, para la regulación de los tributos locales. Y, como hemos destacado en la reciente STC 118/2016, de 23 de junio, FJ 2 b), las normas forales fiscales que emanan de las juntas generales de los territorios históricos “tienen como función constitucional la de configurar, de forma armonizada, un régimen tributario foral que sustituye y replica, en cada uno de esos territorios, la estructura del sistema tributario del Estado” por lo que “han venido sustituyendo en los Territorios Históricos a las disposiciones legislativas del Estado en materia tributaria, fruto de la garantía de la foralidad que el texto constitucional consagra (disposición adicional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Desde la perspectiva del principio de reserva de ley, en orden a valorar si el artículo 14.5 de la Norma Foral 12/1989 respeta los artículos 31.3 y 133.1 y 2 CE, debemos partir de que, como hemos concluido en el fundamento jurídico segundo, la relación entre la norma foral reguladora del IBI (y del resto de tributos locales) y las ordenanzas fiscales es análoga a la que éstas mantienen con el Real Decreto Legislativo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general, hemos señalado que la reserva de ley tributaria es relativa o, lo que es lo mismo, limitada a la creación ex novo del tributo y a la determinación de los elementos esenciales o configuradores del mismo (entre otras muchas, SSTC 37/1981, de 16 de noviembre, FJ 4, y 150/2003, de 15 de junio, FJ 3). Por ello, dicha reserva de ley admite la colaboración del reglamento siempre que sea indispensable por motivos técnicos o para optimizar el cumplimiento de las finalidades propuestas por la Constitución o por la propia Ley y siempre que se produzca en términos de subordinación, desarrollo y complementariedad [entre otras, SSTC 19/1987, de 17 de febrero, FJ 6 c), y 102/2005, de 20 de abril,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cuando se trata de la regulación de los tributos locales, la reserva de ley “ve confirmada su parcialidad, esto es, la restricción de su ámbito” [SSTC 19/1987, de 17 de febrero, FJ 4, y 233/1999, de 16 de diciembre, FJ 10 b)], pues la reserva de ley prevista en el artículo 31.3 CE no puede entenderse desligada “de las condiciones propias del sistema de autonomías territoriales que la Constitución consagra (art. 137) y específicamente de la garantía constitucional de la autonomía de los municipios (art. 140)”, tanto más cuanto que el artículo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éstas habrán de contar con tributos propios y sobre los mismos deberá la Ley reconocerles una intervención en su establecimiento o en su exigencia, según previenen los artículos 140 y 133.2 de la misma Norma fundamental” [STC 233/1999, de 16 de diciembre, FJ 10 b)]. Por tanto, “el ámbito de colaboración normativa de los municipios, en relación con los tributos locales, [es] mayor que el que podría relegarse a la normativa reglamentaria estatal”, por dos razones: en primer lugar, porque “las ordenanzas municipales se aprueban por un órgano —el Pleno del Ayuntamiento— de carácter representativo (art. 22.2.d LBRL)”; y, en segundo término, porque “la garantía local de la autonomía local (arts. 137 y 140 CE) impide que la ley contenga una regulación agotadora de una materia —como los tributos locales— donde está claramente presente el interés local” (STC 132/2001, de 8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principio de seguridad jurídica, en la STC 150/1990, de 4 de octubre, FJ 8, ya precisamos que no resulta infringido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la vista de la doctrina expuesta, la duda del órgano judicial sobre si el artículo 14.5 de la Norma Foral 12/1989 vulnera los principios de reserva de ley tributaria y seguridad jurídica no puede compartirse. En primer lugar, hemos de tener presente que el concepto de “residencia habitual” se utiliza con frecuencia en la regulación de los diversos tributos, tanto en el territorio común como en el foral (a título de ejemplo, en el artículo 3 de la Norma Foral 2/2014, de 17 de enero, del IRPF del territorio histórico de Gipuzkoa), así como en las normas delimitadoras de competencias, como es el caso, en lo que aquí interesa, del concierto económico (artículo 43). El órgano promotor de la cuestión prejudicial descarta acudir a ninguna de las definiciones de “residencia habitual” que se contienen en las normas señaladas, pero sin fundamentar esta posición, cuando lo cierto es que ‒como pone de manifiesto el Fiscal General del Estado‒ tales definiciones existen y están a disposición del intérprete de la norma debatida.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según hemos recordado recientemente en la STC 215/2016, de 15 de diciembre, FJ 14, “la Constitución no veda el uso de conceptos jurídicos indeterminados”, máxime si dichos conceptos aparecen concretados en otras normas del propio ordenamiento tributario. Y en este sentido, el artículo 11.2 de la Norma Foral 2/2005, de 8 de marzo, general tributaria, del Territorio Histórico de Gipuzkoa, dispone que “[e]n tanto no se definan por la normativa tributaria, los términos empleados en sus normas se entenderán conforme a su sentido jurídico, técnico o usual, según proceda”, de tal suerte que el respeto a los principios de reserva de ley y seguridad jurídica no exige a cada norma tributaria detallar exhaustivamente todos los conceptos que utiliza, cuando es posible interpretarlos a la luz de otras disposiciones normativas o bien siguiendo su sentido “técnico o usual”.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corresponderá a los tribunales de la jurisdicción contencioso-administrativa determinar qué ha de entenderse por “residencia habitual” a efectos del recargo sobre el IBI foral, para lo cual, tanto la norma analizada, como el ordenamiento en que se inserta ofrecen los elementos interpretativos suficientes. La Norma Foral 12/1989 aporta una precisión adicional, al señalar que el empadronamiento jugará como presunción de residencia habitual, acotando así el ámbito de indeterminación, de forma coherente con lo dispuesto en el artículo 53.1 del Real Decreto 1690/1986, de 11 de julio, por el que se aprueba el Reglamento de población y demarcación territorial de las entidades locales, cuando afirma que “[e]l padrón municipal es el registro administrativo donde constan los vecinos de un municipio. Sus datos constituyen prueba de la residencia en el municipio y del domicilio habitual en el mismo”. La referencia al padrón municipal como medio de prueba para acreditar el concepto de “residencia habitual” viene, pues, predeterminada normativamente y, en consecuencia, no constituye, en sede de interpretación de la legalidad ordinaria, un concepto jurídico tan indeterminado como pretende poner de manifiesto el órgano judicial que plantea la cuestión. Además, debe puntualizarse que la norma foral enjuiciada se limita a configurar, con valor de presunción iuris tantum, un medio de prueba para acreditar el concepto de “residencia habitual” como presupuesto de hecho que excluye la aplicación del recargo, pero no impide que éste pueda resultar probado por otros medios reconocidos en Derecho. En efecto, lo determinante en este caso es que dicha norma, además de expresar un modo de acreditar la residencia habitual del uso residencial que se haga de un inmueble sito en el término municipal correspondiente a través de una presunción, no limita la posibilidad de que el sujeto pasivo del impuesto pruebe su residencia habitual de otra manera distinta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 partir de la doctrina constitucional aplicable, el artículo 14.5 de la Norma Foral 12/1989 precisa de forma suficiente el supuesto de hecho del recargo mediante una norma del rango adecuado, por lo que ninguna tacha cabe formularle desde la vertiente de los principios de reserva de ley tributaria (arts. 31.3 y 133.1 y 2 CE) y seguridad jurídica (art. 9.3 CE), de tal suerte que la duda referida a estos preceptos resulta “notoriamente infundada”, en los términos en que tal expresión ha sido entendida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segunda duda, que atañe a los principios de capacidad económica e igualdad tributaria, recogidos en el artículo 31.1 CE, lleva al órgano judicial a cuestionar que la exacción de un recargo sobre el IBI, aunque tenga una finalidad extrafiscal (como acepta que es el caso), pueda basarse en que el inmueble gravado no sea la residencia habitual del sujeto pasivo o de un tercero. El Auto discute que esta circunstancia determine una mayor capacidad económica, lo que también puede suponer —sostiene— una vulneración de la igualdad tributaria, al establecer un gravamen diverso sobre índices de capacidad económica idénticos, sin una justificación objetiva y razonable. Considera que se introduce una diferencia de trato ante una situación homogénea, como es la titularidad de un inmueble, por el hecho de no tener residencia habitual en él, lo que puede obedecer a múltiples causas que no tienen por qué revelar una mayor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principio de capacidad económica, tampoco puede compartirse la duda planteada por el órgano judicial, a la luz de la doctrina constitucional sobre este principio. A este respecto, cabe recordar que la STC 37/1987, de 26 de marzo, FJ 13, resolviendo el recurso de inconstitucionalidad interpuesto contra el impuesto andaluz sobre tierras infrautilizadas, de carácter extrafiscal, al igual que el recargo que aquí estudiamos, afirmó que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puede citarse la STC 295/2006, de 11 de octubre, FJ 6, referida a la imputación de rentas inmobiliarias en el IRPF, en la que, con remisión a la STC 37/1987, señalamos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susceptibles de generar un rendimiento al que ‘renuncia’ su titular —el que podría obtenerse mediante su arrendamiento— estamos ante una ‘renta potencial’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por sí mismo revelador de la titularidad de una riqueza real o potencial’ (STC 37/1987, de 26 de marzo, FJ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que antecede, este Tribunal ya tiene sentado que la no utilización de un bien o su uso no habitual ponen de manifiesto una riqueza real o potencial cuyo gravamen, en lo que aquí interesa a través de un recargo en el IBI del territorio histórico de Gipuzkoa, es coherente con el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análisis, desde la perspectiva del principio de igualdad, conduce a la misma conclusión anterior, toda vez que, como hemos señalado reiteradamente (por todas, STC 167/2016, de 6 de octubre, FJ 5),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Así, el primer paso del denominado “juicio de igualdad” es el “juicio de comparabilidad”, que llevaría a examinar si quien destina una vivienda a residencia habitual (propia o de un tercero a quien se la ceda, por arrendamiento u otro título) y quien no lo hace se configuran como términos homogéneos de comparación. La respuesta ha de ser claramente negativa, toda vez que ambos se encuentran en circunstancias diferentes en cuanto al grado o tipo de utilización de la vivienda, que es un aspecto relevante de cara a determinar su contribución a los gastos públicos mediante un tributo que grava la titularidad del inmueble, como ponen de manifiesto los pronunciamientos citados anteriormente. Por tanto, al no hallarnos ante situaciones comparables, no puede reputarse lesionado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similitud con el caso que analizamos conviene, asimismo, mencionar el ATC 123/2009, de 28 de abril, en el que se abordaba la cuestión de inconstitucionalidad núm. 4351-2008 planteada sobre el artículo 72.4 del Real Decreto Legislativo 2/2004, por posible infracción de los artículos 9.3, 14, 31.1 y 133 CE, que son también los invocados por la Sala de lo Contencioso-Administrativo del Tribunal Superior de Justicia del País Vasco. Se examinaba en tal ocasión si la habilitación contenida en el artículo 72.4 del Real Decreto Legislativo 2/2004 para que los ayuntamientos, mediante ordenanza fiscal, estableciesen unos tipos de gravamen diferenciados en el IBI en función de los diferentes usos previstos por la normativa catastral para determinados bienes inmuebles, vulneraba la Constitución. Pues bien, en dicho Auto afirmó este Tribunal que, en el caso de inmuebles destinados a diferentes usos según la normativa catastral, “no se cumple el requisito de que se trate de dos situaciones comparables” (FJ 4), añadiendo que “la Constitución otorga una especial protección a la vivienda (artículo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 (FJ 5). A pesar de que en tal caso la diferencia de trato se establecía entre inmuebles residenciales y no residenciales, distinción que este Tribunal reputaba legítima desde el punto de vista del artículo 31.1 CE, la misma ratio nos lleva a aceptar ahora la posibilidad de que, dentro de los inmuebles residenciales, se diferencie entre los que constituyen residencia habitual y los que no, aplicando un mayor gravamen en el IBI a los segundos, como hace el artículo 14.5 de la Norma Foral 12/1989.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terminar, cabe citar el ATC 417/2005, de 22 de noviembre, que resolvía la cuestión de inconstitucionalidad núm. 2346-2005, planteada en relación con la Ley de la Asamblea de Extremadura 9/1998, de 26 de junio, del impuesto sobre suelo sin edificar y edificaciones ruinosas. Si bien la infracción constitucional que allí se estudiaba era la del artículo 6.3 de la Ley Orgánica de financiación de las Comunidades Autónomas, el tema enjuiciado era la aplicación de una distinta carga tributaria, por motivos extrafiscales, en función del uso (o falta de uso) de un bien inmueble, caso análogo al que se plantea aquí. Y en dicho Auto este Tribunal recalcaba, a partir de la doctrina de la STC 37/1987, que el tributo enjuiciado era una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 cual los poderes públicos han de establecer las condiciones y normas oportunas para hacer real y operativo ese derecho … [cuya] única y exclusiva finalidad es la de conseguir determinadas conductas de los ciudadanos, estimulando la construcción en los solares o la rehabilitación de edificaciones declaradas en ruina” (FJ 6). Y de la misma forma que en tal caso este Tribunal estimó como legítimo desincentivar fiscalmente el que no se diera a los solares un determinado uso, a igual conclusión se ha de llegar en el presente supuesto para las viviendas que no son residencia habitual del sujeto pasivo o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 base en la doctrina sentada en los antecedentes expuestos, podemos ya concluir que el recargo en el IBI para viviendas que no constituyan la residencia habitual del sujeto pasivo o de un tercero, regulado en el artículo 14.5 de la Norma Foral 12/1989, tampoco es contrario a los principios de capacidad económica e igualdad del artículo 31.1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prejudicial de validez núm. 639-2017.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