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20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433-2013, interpuesto por el Gobierno de Canarias contra los artículos 1, 3, 4.14, 6, 8, apartados 1, 2 y 3, 9, disposición adicional primera y disposición final sexta del Real Decreto-ley 16/2012, de 20 de abril, de medidas urgentes para garantizar la sostenibilidad del Sistema Nacional de Salud y mejorar la calidad y seguridad de sus prestaciones.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23 de enero de 2013 la Directora General del servicio jurídico del Gobierno de Canarias, en la representación que ostenta, interpuso recurso de inconstitucionalidad contra los artículos 1, 3, 4.14, 6, 8, apartados 1, 2 y 3, 9; disposición adicional primera y disposición final sexta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totalidad de los preceptos impugnados vulneran el artículo 86.1 CE por falta del presupuesto habilitante de la extraordinaria y urgente necesidad. La demanda recuerda la doctrina constitucional en la materia y sostiene que, respecto a los preceptos impugnados los razonamientos ofrecidos por el Gobierno en la parte expositiva del Real Decreto-ley 16/2012 en orden a justificar la extraordinaria y urgente necesidad de su dictado no son suficientes. En relación con el artículo 1, relativo a la nueva condición de asegurado, el Gobierno de Canarias señala que la motivación ofrecida alude a normativa comunitaria y a pronunciamientos del Tribunal de Cuentas, sin que haya ninguna justificación específica sobre el carácter extraordinario y urgente de la medida. Sobre el artículo 3, que crea un fondo de garantía asistencial, de carácter extrapresupuestario, dirigido a cubrir los desplazamientos entre Comunidades Autónomas y ciudades de Ceuta y Melilla de personas que gocen de la condición de asegurado en el Sistema Nacional de Salud, se afirma en la exposición de motivos que la constitución de este fondo se hace imprescindible pero el eventual interés público en su creación, no ampara que se formalice a través del instrumento excepcional que representa el Decreto-ley. Tampoco respecto al artículo 6 se explicita el presupuesto habilitante del Decreto-ley, pues, en modo alguno, visto su contenido, es posible entender que responda a la necesidad de respeto al principio de austeridad o de racionalización del gasto público en la oferta de medicamentos y productos sanitarios a que se refiere la exposición de motivos cuando alude al capítulo que incluye este precepto. Se trata de una medida de tipo organizativo, que impone el establecimiento de servicios de farmacias propio en centros sanitarios y de asistencia social, y de la que no existe explicación sobre su inclusión en una norma excepcional como es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medidas que se incluyen en el artículo 8, apartados 1, 2 y 3, dirigidas a modificar la legislación en materia de profesiones sanitarias, y en el artículo 9, que crea un registro estatal de profesionales sanitarios, la demanda tampoco encuentra verdaderas razones de urgencia. Idénticas objeciones, en cuanto a la no concurrencia del presupuesto habilitante del Decreto-ley, cabría oponer respecto de la regulación contenida en la disposición adicional primera, en cuanto al régimen de los españoles residentes en el exterior, así como de la incluida en la disposición final sexta, que modifica el Real Decreto 1301/2006, de 10 de noviembre, por el que se establecen las normas de calidad y seguridad para la donación, la obtención, la evaluación, el procesamiento, la preservación, el almacenamiento y la distribución de células y tejidos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Canarias denuncia la inconstitucionalidad del artículo 1 del Real Decreto-ley 16/2012 en cuanto que el legislador estatal, al anudar la asistencia sanitaria a la Seguridad Social, contraviene los artículos 41 y 43 CE, en los que se había basado el legislador para introducir un Sistema Nacional de Salud orientado a la prestación asistencial universal desvinculado de la cotización a la Seguridad Social. Por el contrario, el Real Decreto-ley 16/2012 introduce el concepto de “asegurado”, vinculando, en gran medida, el derecho de acceso a la asistencia sanitaria pública y gratuita al sistema contributivo de Seguridad Social, lo que sería contrario a la doctrina constitucional y a la idea de la universalidad de la asistencia sanitaria que subyace en el artículo 43 CE. Por ello la demanda considera que la modificación que el artículo1.1 del Real Decreto-ley 16/2012 opera sobre el artículo 3 de la Ley 16/2003, de 28 de mayo, de cohesión y calidad del Sistema Nacional de Salud, y en particular, las restricciones al acceso a las prestaciones sanitarias públicas que se contienen en el apartado 3 de este último precepto legal, deben reputarse contrarias al principio de igualdad establecido en el artículo 14 CE y al derecho a la protección de la salud del artículo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1.2 vulneraría las competencias de la Comunidad Autónoma de Canarias de desarrollo legislativo y ejecución en materia de sanidad e higiene del artículo 32.10 del Estatuto de Autonomía de Canarias (EACan), en cuanto que reserva al Estado las funciones de reconocimiento y control de la condición de asegurado, las cuales tienen un carácter marcadamente ejecutivo, con lo que esa reserva no está justificada desde la perspectiva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también considera que los artículos 4.14 y 6 infringen las competencias autonómicas. El artículo 4.14 añade un artículo 94 ter a la Ley 29/2006, de 26 de julio, de garantías y uso racional de los medicamentos y productos sanitarios, autorizando al Instituto Nacional de la Seguridad Social para tratar los datos que resulten imprescindibles para determinar la cuantía de las aportaciones de los beneficiarios en la prestación farmacéutica. Tal función constituye una típica expresión de la competencia ejecutiva. En cuanto al artículo 6, sobre medidas relativas a la atención farmacéutica en los hospitales, en los centros de asistencia social y en los centros psiquiátricos, se le reprocha que deja sin contenido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febrero de 2013, el Pleno del Tribunal, a propuesta de la Sección Tercera, acordó admitir a trámite el recurso de inconstitucionalidad promovido por el Gobierno de Canarias y, en su representación y defensa, por la Directora General del Servicio Jurídico del mismo, contra los artículos 1; 3; 4.14; 6; 8 apartados 1, 2 y 3; 9; disposición adicional primera y la disposición final sexta del Real Decreto-ley 16/2012, de 20 de abril, de medidas urgentes para garantizar la sostenibilidad del Sistema Nacional de Salud y mejorar la calidad y seguridad de sus prestaciones;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general del Tribunal Constitucional el 19 de febrero de 2013 el Abogado del Estado se personó en el proceso, solicitando la concesión de una prórroga del plazo para formular alegaciones por ocho días más, que le fue concedida por providencia del Pleno de 20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27 de febrero de 2013, el Presidente del Senado comunicó que la Mesa de la Cámara acordó personarse en el procedimiento y ofrecer su colaboración a los efectos del artículo 88.l LOTC. Lo mismo hizo el Presidente del Congreso de los Diputados, por escrito que tuvo entrada en este Tribunal ese día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por escrito registrado el 15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una serie de cuestiones preliminares, referidas a la exposición del objeto del recurso, la descripción del contenido del Real Decreto-ley 16/2012 y la evolución normativa de la delimitación del ámbito subjetivo de cobertura en el Sistema Nacional de Salud, para concluir con las notas que definen la nueva regulación del régimen jurídico del derecho a la asistencia sanitaria tras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del Real Decreto-ley 16/2012 superan el test constitucional sobre el presupuesto habilitante del artículo 86.1 CE, de acuerdo con la doctrina constitucional (por todas, SSTC 329/2005, de 15 de diciembre, FJ 5; 332/2005, de 15 de diciembre, FFJJ 5 y ss.; 68/2007, de 28 de marzo, FJ 6: 31/2011; de 17 de marzo, FJ 3; 137/2011, de 14 de septiembre, FJ 4, y 1/2012, de 13 de enero, FJ 6). Las razones de urgencia han quedado exteriorizadas tanto en la memoria de análisis de impacto normativo como en la exposición de motivos y en el debate de convalidación: (i) el marco de una crisis económica sin precedentes, constatada en los informes del Banco de España, que exige fuertes ajustes presupuestarios, y de la que se ha hecho eco el Tribunal (AATC 95/2011 de 21 junio, FJ 5; 96/2011, de 21 de junio, FJ 5, y 147/2012, de 16 de julio, FJ 6); (ii) la importancia del gasto sanitario en las medidas de corrección del déficit, en la senda de consolidación fiscal pactada con los órganos de la Unión Europea y (iii) la ausencia de normas comunes sobre el aseguramiento, el crecimiento desigual en las prestaciones del catálogo, la falta de adecuación de algunas de ellas a la realidad socioeconómica y la propia falta de rigor y énfasis en la eficiencia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han dado cumplidas razones de la relación de conexión entre la necesidad apreciada y las medidas impugnadas: (i) en cuanto a la definición de asegurado, la necesidad de corregir los abusos del llamado turismo sanitario, que supondrán un ahorro estimado en 917 millones de euros; (ii) el impacto de las medidas orientadas a garantizar el uso racional del medicamento se cuantifica en un ahorro de 3.550 millones de euros; (iii) las medidas de reforma del Estatuto marco del personal estatutario han quedado cuantificadas en 500 millones de euros; y (iv) los acontecimientos relacionados con actividades de promoción y publicidad en apoyo de la donación de células y tejidos humanos, que aconsejaban completar la transposición de la Directiva 2004/23/CE, del Parlamento Europeo y del Consejo, de 31 de marzo de 2004, reguladora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concurrir el presupuesto habilitante, dentro de los límites materiales del artículo 86.1 CE, nada impide que el decreto-ley realice una modificación estructural si ésta resulta de extraordinaria y urgente necesidad, como ha quedado justificado. La nota de provisionalidad de estas normas no alude a su carácter limitado o con cláusula de caducidad, sino a la necesidad de su convalidación o ratificación parlamentaria para su pervivencia en el tiempo (SSTC 178/2004, de 21 de octubre, FJ 6, y 189/2005, de 7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los concretos preceptos que han sido impugnados señala que el artículo 1 no vulnera los artículos 14, 41 y 43 CE. El artículo 43 CE no impone un único modelo sanitario, ni tampoco que el Estado deba garantizar una plena prestación sanitaria pública para toda persona que resida, regular o irregularmente, en España. La única reducción del ámbito subjetivo de la cobertura que cabe imputar a la norma impugnada es la relativa a los inmigrantes en situación irregular. En el marco de las SSTC 95/2000, de 10 de abril, FJ 3, y 236/2007, de 7 de noviembre, FJ 4, el examen del acceso a la sanidad con cargo a fondos públicos en los países de nuestro entorno, que integran la misma comunidad jurídica de protección de los derechos humanos reconocidos en los textos y convenios internacionales en la materia, permite concluir que no existe uniformidad en el modo de abordar la financiación pública de la sanidad que se presta a los inmigrantes en situación irregular. Por el contrario, sí parece existir consenso en otorgarles el tratamiento de urgencia con independencia de su situación legal, en cuanto conecta con la protección de la vida y de la integridad física de la persona, si bien en gran parte de los países de nuestro entorno se exige el pago del coste de esa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legal del derecho a la salud, la Constitución autoriza al legislador a establecer condiciones de ejercicio para los extranjeros distintas de las que rigen para los españoles e incluso a tomar en consideración el dato de su situación legal en España. Para que sea admisible, el Tribunal ha exigido: (i) que no se vea afectado el contenido del derecho imprescindible para la garantía de la dignidad humana, concepto que hoy podría conectarse con la atención de urgencia; (ii) que la distinción se dirija a preservar otros derechos, bienes o intereses constitucionalmente protegidos, señaladamente el principio constitucional de estabilidad presupuestaria del artículo 135 CE, en un contexto de extraordinarias dificultades, lo que no resulta contrario al pacto de derechos económicos, sociales y culturales (artículos 2.1 y 12.1) ni a la Carta de derechos fundamentales de la Unión Europea (artículo 35); (iii) que la medida sea proporcional al fin perseguido, a cuyo efecto se señala que, además de las prestaciones garantizadas, la prevención sanitaria queda cubierta a través de los dispositivos de salud pública sin necesidad de tarjeta sanitaria (artículo 6 de la Ley 33/2011, de 4 de octubre, general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1.2, impugnado por motivos competenciales, argumenta que, de acuerdo con la normativa preexistente, el reconocimiento de la condición de asegurado o de beneficiario ya correspondía al Instituto Nacional de la Seguridad Social o a la Tesorería General de la Seguridad Social, según los colectivos. En la tensión que siempre ha existido entre la consideración de la asistencia sanitaria con cargo a fondos públicos como prestación de la Seguridad Social o como prestación al margen de ésta, el Real Decreto-ley 16/2012 ha optado por aproximarla nuevamente al régimen de la Seguridad Social incluyendo un concepto claro de ese modelo como es el de “asegurado”. Esta opción del legislador justifica que a efectos competenciales, vuelva a tener relevancia el artículo 149.1.17 CE en cuanto al “régimen económico de la Seguridad Social” (SSTC 124/1989, de 7 de julio, FJ 3, y 195/1996, de 28 de noviembre,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aceptara la anterior argumentación, estaría igualmente justificada la asunción de la función de reconocer la condición de asegurado por órganos estatales, como función ejecutiva básica, según la doctrina constitucional (por todas, STC 33/2005, de 17 de febrero, FJ 6). La decisión exige imperativamente de un ente supraordenado que, de forma homogénea, garantice la igualdad de todas las personas que se encuentren en España en el acceso a la sanidad. Estos mismos motivos deben conducir a desestimar la impugnación del artículo 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6, el Abogado del Estado sostiene que resulta obvia la constitucionalidad de su apartado primero, el cual fija una exigencia mínima que puede superarse por las Comunidades Autónomas. El apartado segundo aumenta el margen de actuación de las Comunidades Autónomas, permitiendo que exceptúen a determinados centros sanitarios de la obligación de contar con un servicio de farmacia hospitalaria propio, si bien el legislador estatal impone límites a esta posibilidad, dejando un amplio margen de desarrollo autonómico. En cuanto al apartado tercero, nuevamente se trata de una norma ordenada a garantizar un mínimo de calidad y seguridad en todo centro: que cuenten, en todo caso, con un depósito de medicamentos, garantizando así el acceso a medicamentos en los centros sanitarios, en condiciones mínimas de seguridad y racionalidad en su uso y dispensación. En materia de seguridad de los medicamentos opera el título competencial normativo pleno sobre “productos farmacéuticos” (STC 152/2003, de 17 de julio, FFJJ 7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julio de 2017,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ha de resolver el recurso de inconstitucionalidad interpuesto por el Gobierno de Canarias contra determinados preceptos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demanda plantea, en primer lugar, la vulneración del artículo 86.1 CE en la que incurrirían la totalidad de los preceptos impugnados. Por otra parte, el artículo 1 del Real Decreto-ley 16/2012 sería contrario a lo dispuesto en los artículos 14, 41 y 43 CE, al restringir los beneficiarios del sistema nacional de salud vinculando el derecho de acceso a la asistencia sanitaria al sistema contributivo de Seguridad Social. También lo sería por contrariar las competencias autonómicas relativas a la gestión del sistema sanitario público en cuanto que su apartado segundo determina la asunción de competencias ejecutivas por órganos estatales. Por último, los artículos 4.14 y 6 del Real Decreto-ley 16/2012 contienen un conjunto de medidas referidas a la prestación farmacéutica y a la organización de servicios de farmacia hospitalaria que vulnerarían las competencias autonómicas en materia de ordenación farmacéutica y organización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igualmente expuestas en los antecedentes,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del asunto es necesario realizar alguna precisión preliminar a fin de delimitar el objeto del recurso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16/2012 ha sido ya objeto de las SSTC 139/2016, de 21 de julio; 183/2016, de 3 de noviembre; 33/2017, de 1 de marzo; 63/2017, de 25 de mayo, y 64/2017, de 25 de mayo, cuya doctrina deberá ser tenida en cuenta en la medida en que resulte trasladable al caso que ahora nos ocupa.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63/2017 declaró la inconstitucionalidad de la disposición final sexta del Real Decreto-ley 16/2012, en cuanto añade un párrafo al artículo 4.1 del Real Decreto 1301/2006, de 10 de noviembre, en el inciso “y la Organización Nacional de Trasplantes cuando las actividades pretendidas superen dicho ámbito”. Consecuentemente, ha de apreciarse la pérdida sobrevenida del objeto del recurso respecto a dicho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tacha de vulneración del artículo 86.1 CE por no concurrir el presupuesto habilitante de la extraordinaria y urgente necesidad, ha de ser desestimada en lo que respecta al artículo 1 del Real Decreto-ley 16/2012 en atención a lo razonado en la STC 139/2016,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condicionamiento del derecho al acceso a la asistencia sanitaria a través de la condición de asegurado, que comporta la exclusión de determinados colectivos de la titularidad del derecho (artículo 1.1 del Real Decreto-ley 16/2012) debe desestimarse en atención a lo ya razonado en la STC 139/2016,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por motivos competenciales del artículo 1.2, que añade un artículo 3 bis a la Ley 16/2003, de 28 de mayo, de cohesión y calidad del Sistema Nacional de Salud, queda desestimada en atención a lo razonado en la STC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4.14, que añade un nuevo artículo 94 ter a la Ley 29/2006 (actualmente, artículo 103 del texto refundido aprobado por Real Decreto Legislativo 1/2015), ha sido impugnado por entender que vulneraba las competencias autonómicas. Dicha queja ha quedado desestimada en la STC 63/2017, FJ 5 b),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por motivos competenciales del artículo 6, que regula medidas relativas a la atención farmacéutica en los hospitales, en los centros de asistencia social en régimen de asistidos, y en los centros psiquiátricos, ha de desestimarse conforme a la STC 63/2017,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este Tribunal se pronunció expresamente acerca de la conformidad competencial de los apartados 2 y 3 de dicho artículo 6, pero de su razonamiento se infiere, sin dificultad, que el apartado 1 también tiene carácter básico, ya que en dicha Sentencia se afirma que “la regulación aquí controvertida, en cuanto fija un requisito mínimo para determinados centros sanitarios y asimilados (régimen de asistidos) que, en razón al tamaño de su oferta asistencial no ambulatoria, requieren, a juicio del legislador básico, de un servicio de dispensación de medicamentos, rodeado de las necesarias garantías: los servicios de farmacia hospitalaria, bajo la titularidad y responsabilidad de un farmacéutico especialista en esta materia, tienen encomendada la custodia, conservación y dispensación de medicamentos de uso humano para su aplicación dentro de las instituciones del Sistema Nacional de Salud, o en algunos supuestos de medicamentos sometidos a reserva singular (arts. 3.6 y 85.1 del texto refundido de la Ley de garantías y uso racional de los medicamentos y productos sanitarios aprobado por Real Decreto Legislativo 1/2015,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anterior, resta por resolver la queja de vulneración del artículo 86.1 CE que se plantea en relación con los artículos 3, 6, 8, apartados 1, 2 y 3, 9, disposición adicional primera y disposición final sexta del Real Decreto-ley 16/2012, pues, pese a lo afirmado en la demanda, nada se alega al respecto sobre el artículo 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examen también ha de quedar excluido el artículo 3 y las disposiciones adicional primera y final sexta, salvo en el inciso ya declarado inconstitucional por la STC 63/2017. En efecto, la demanda no argumenta mínimamente acerca de las razones por las que estos preceptos vulneran el artículo 86.1 CE, porque se limita a afirmar bien que, respecto al artículo 3, “no ampara que se formalice a través del instrumento excepcional que representa el decreto ley”, o bien, simplemente, a negar, respecto a las otras dos disposiciones, que “las razones de eficiencia que la justifican en la exposición de motivos justifique la urgencia y el carácter extraordinario de la medida”. La STC 72/2014, de 8 de mayo, FJ 4, exige una fundamentación que contenga un análisis y una argumentación suficientes en la demanda, ya que constituye una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la concurrencia de la presunción de constitucionalidad [SSTC 204/2011, de 15 de diciembre, FJ 2 b); 22/2012, de 16 de febrero, FJ 2 b), y 165/2013, de 26 de septiembre de 2013, FJ 13 a)]. En consecuencia, habiéndose incumplido tal carga, debe desestimarse este motivo de inconstitucionalidad en relación con el artículo 3, la disposición adicional primera y la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control constitucional externo que corresponde a este Tribunal en la comprobación del necesario respeto a los límites que impone el artículo 86.1 CE para la utilización de la figura del decreto-ley, implica el análisis de dos elementos: los motivos que, habiendo sido tenidos en cuenta por el Gobierno en su aprobación, hayan sido explicitados de una forma razonada, y la existencia de una necesaria conexión entre la situación de urgencia definida y la medida concreta adoptada para sostenerla.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queja debemos tener presente la doctrina de la STC 139/2016, FFJJ 3 a 6, que se reitera en las SSTC 183/2016, FFJJ 3 a 5; 33/2017, FJ 3; 63/2017, FJ 3, y 64/2017, FJ 2. Todas estas Sentencias resuelven recursos de inconstitucionalidad interpuestos contra diversos preceptos del Real Decreto-ley 16/2012, rechazando, en lo que ahora importa, las tachas esgrimidas por los recurrentes con fundamento en la pretendida vulneración del artículo 86.1 CE, por entender que no concurre el presupuesto habilitante de la extraordinaria y urgente necesidad que exige este precepto constitucional para aprobar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33/2017, FJ 3, el primero de estos elementos fue examinado ampliamente en la STC 139/2016, dónde se afirma que “de la exposición de motivos de la norma cuestionada y del ulterior debate parlamentario de convalidación cabe concluir, sin entrar en un juicio político que este Tribunal tiene vedado, que el Gobierno ha cumplido la exigencia de explicitar y razonar de forma suficiente, la existencia de una situación de ‘extraordinaria y urgente necesidad’ que fundamenta la necesidad de dictar el Real Decreto-ley 16/2012. En efecto, se ha ofrecido una justificación general basada en la existencia de una situación de grave dificultad económica sin precedentes desde la creación del Sistema Nacional de Salud … De ello se desprende que las reformas que se proponen tratan de hacer frente a una situación excepcional, actuando para impedir que la situación económica del Sistema Nacional de Salud se vuelva irreversible. El carácter relevante o grave de la situación, invocado por el Gobierno, resulta así justificado, pues, de acuerdo con los argumentos ya resumidos, el sistema sanitario público se encuentra sometido desde hace años a una importante situación de déficit que hace peligrar su viabilidad, situación agravada por el actual contexto de crisis económica en el que la norma se aprueba, que ha incrementado la precariedad de su financiación. Por ello, podemos considerar que la situación de extraordinaria y urgente necesidad y la necesidad de adoptar medidas inmediatas para corregirla ha sido justifica por el Gobierno de forma explícita y razonada. Nada afecta a la anterior consideración el hecho de que, en todo o en parte, pudiera pretenderse resolver una situación de carácter estructural y no coyuntural, pues ya hemos indicado que eso no es, por sí mismo, determinante para estimar que se haya hecho un uso constitucionalmente inadecuado de la figura del decreto-ley”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por tanto, examinar el segundo elemento de nuestro canon, es decir, la existencia de una necesaria conexión entre la situación de urgencia definida y las medidas que en el decreto-ley se adoptan, en una relación directa o de congruencia con la situación que se trata de afrontar (SSTC 29/1982, de 31 de mayo, FJ 3; 182/1997, de 20 de octubre, FJ 3, y 137/2003, de 3 de julio, FJ 4). Este examen ha de realizarse en relación con el contenido positivo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6 introduce una serie de medidas relativas a la atención farmacéutica en los hospitales, en los centros de asistencia social y en los centros psiquiátricos. Su apartado primero establece la obligación de contar con un servicio de farmacia hospitalaria propio, cuando estos centros cuenten con cien camas o más. El apartado segundo permite que, mediante convenio o acuerdo, las Comunidades Autónomas eximan de dicha exigencia a los centros obligados, siempre que dispongan de un depósito de medicamentos vinculado al servicio de farmacia hospitalaria del hospital público de referencia en el área o zona sanitaria correspondiente. El apartado tercero prescribe que los centros no obligados deben disponer de un depósito de medicamentos vinculado a un servicio de farmacia del área sanitaria y bajo la responsabilidad del jefe del servicio, en el caso de los hospitales del sector público, y a una oficina de farmacia establecida en la misma zona farmacéutica o a un servicio de farmacia hospitalaria, en el supuesto de que se trate de un hospital del sector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 de la exposición de motivos del Real Decreto-ley 16/2012 se señala que “el uso racional y la adecuación terapéutica a la duración real de los tratamientos es uno de los temas en los que se debe poner el énfasis. Así, los últimos datos de gestión medioambiental de residuos de medicamentos ponen de manifiesto los preocupantes costes de destrucción de productos desechados sin utilizar o de unidades excedentes de las pautas terapéuticas establecidas, que no sólo confirman la necesidad de mejorar la eficiencia en el proceso de prescripción, dispensación y uso de medicamentos, sino que alertan de los preocupantes costes medioambientales derivados”. Por su parte, el apartado V de la exposición de motivos del Real Decreto-ley 16/2012 indica que el capítulo IV del Real Decreto-ley incorpora determinadas medidas relacionadas con la prestación farmacéutica y añade que “la financiación de medicamentos y productos sanitarios en el Sistema Nacional de Salud es uno de los grandes desafíos actuales. La austeridad en el gasto público, imprescindible en todo momento, ha devenido un objetivo inaplazable”.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del Real Decreto-ley 16/2012 (“Diario de Sesiones del Congreso de los Diputados”, núm. 31 de 17 de mayo, correspondiente a la sesión plenaria núm. 30), la Sra. Ministra de Sanidad, Servicios Sociales e Igualdad, insistió en que “el gasto farmacéutico en España solo en recetas supone el 19,3 por 100 del gasto sanitario total. Si se le añade la farmacia hospitalaria, el gasto rebasa ampliamente el 20 por 100 … Era inaplazable dar respuesta a esta situación. Por último, se tiraban toneladas de medicamentos al año sin ser utilizados. Señorías, hemos pedido un esfuerzo muy importante a la industria farmacéutica para que colaboren en la reducción del coste de los medicamentos, y también para que sigan invirtiendo en innovación, en inversión y desarrollo … Asimismo, vamos a potenciar el uso de medicamentos genéricos, la revisión de los precios de referencia y otros procedimientos que comportarán ahorros para 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control puramente externo que corresponde a este Tribunal, que debe respetar el margen de discrecionalidad política que en la apreciación del requisito del presupuesto habilitante corresponde al Gobierno, se debe concluir que no se ha vulnerado el segundo elemento del canon constitucional requerido: la conexión de sentido entre la medida adoptada y la situación de urgencia previamente definida. Se aprecia que las normas impugnadas guardan relación directa con la situación de urgencia que se trata de afrontar; de modo que existe conexión de sentido entre la situación de urgencia, derivada de las dificultades por las que atraviesa el sistema sanitario público, y las medidas adoptadas, en cuanto que persiguen la racionalización y reducción de los gastos que se financian con cargo a dicho sistema. Como ya puso de manifiesto la STC 33/2017, FJ 3, “tanto en la exposición de motivos como en el debate de convalidación, se pone de manifiesto la necesidad inaplazable de cumplimiento de los objetivos que se concretan: de un lado, en la búsqueda de la eficiencia en el proceso de prescripción y dispensación de medicamentos y productos sanitarios, en condiciones que resulten compatibles con la austeridad en el gasto público que contribuya al sostenimiento financiero del sistema, y, de otro, el impulso del uso racional de los medicamentos, garantizando a la vez el acceso generalizado a los mismos, en condiciones de efectividad y seguridad. Estamos por tanto ante la plasmación de un objetivo de ahorro que guarda la necesaria congruencia con los problemas que la norma persigue solucionar y la situación deficitaria que se pretende controlar, por lo que la medida cuestionada no puede considerarse desconectada de los objetivos generales perseguidos por la norma de urgencia, derivados de las dificultades por las que atraviesa el sistema sanitario público, en cuanto tiene por objeto la racionalización del gasto farmacéutico, como medio para contribuir a la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son trasladables al presente caso por cuanto, aun tratándose de una medida de tipo organizativo, la norma persigue garantizar la dispensación de medicamentos en determinados establecimientos, asegurando su uso racional mediante la configuración de un servicio de dispensación atribuido a un especialista en esta materia. Se busca así la eficiencia en el proceso de prescripción y dispensación de medicamentos, lo que hace que la concreta medida que examinamos guarde relación con los objetivos que la norma de urgencia persigue, lo que permite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Resta por examinar la regulación de los artículos 8 y 9. El artículo 8 modifica el artículo 25 de la Ley 44/2003, de 21 de noviembre, de ordenación de las profesiones sanitarias, regulando la formación especializada en áreas de capacitación específica. El artículo 9 añade una nueva disposición adicional décima a la Ley 16/2003, de 28 de mayo, de cohesión y calidad del Sistema Nacional de Salud, mediante la que se crea el registro estatal de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VI de la exposición de motivos del Real Decreto-ley 16/2012, tras advertir que “en el Capítulo V de este real decreto-ley se contemplan una serie de medidas destinadas a corregir determinadas situaciones estructurales en relación con los recursos humanos, verdaderos activos del Sistema Nacional de Salud” da cuenta de estas dos medidas en los términos siguientes. Respecto al artículo 8 indica que “la inminente aplicación de la troncalidad en la formación de especialistas del Sistema Nacional de Salud hace urgente realizar determinadas modificaciones en la Ley 44/2003, de 21 de noviembre, de ordenación de las profesiones sanitarias, en lo relativo a la regulación de las Áreas de Capacitación Específica, la clarificación de las competencias en la formación de especialistas, la resolución de las solicitudes de acreditación de centros docentes y su auditoría y evaluación. La creación de Áreas de Capacitación Específica no admite demora para dar respuesta a las necesidades del progreso científico y al derecho y deber que tienen los profesionales en orden a su desarrollo profesional. Este desarrollo es una petición unánime de los profesionales sanitarios, del Consejo Nacional de Especialidades en Ciencias de la Salud, de las sociedades científicas y de las administraciones sanitarias. Sin embargo, al haber transcurrido más de 8 años desde la aprobación de la Ley 44/2003, de 21 de noviembre, es necesario adaptar el desarrollo de las Áreas de Capacitación Específica a las nuevas necesidades del sistema sanitario y a la evolución que la formación sanitaria especializada está experimentando tanto a nivel interno (introducción de criterios de troncalidad en la formación de especialistas) como en el ámbito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9, se afirma que “la necesidad de crear un Registro Estatal de Profesionales Sanitarios se basa en que se trata de una herramienta imprescindible para garantizar la información a la población y a las instituciones de la situación de los profesionales desde los diferentes aspectos que configuran la práctica profesional. La información respecto de la certificación de que el profesional no esté sometido a sanción disciplinaria o inhabilitación profesional se constituye en una garantía para la seguridad de los pacientes y da cumplimiento a la exigencia del derecho comunitario para acreditar la buena práctica de los profesionales en el ámbito del derecho a la libre circulación, que tiene una gran incidencia en el sector salud” A lo anterior añade que “los registros autonómicos y colegiales no son suficientes para garantizar la necesaria planificación y control de los recursos humanos con los que cuenta el sistema sanitario. Este registro estatal, al posibilitar una conexión con los registros autonómicos en tiempo real, permitirá que los datos de especial necesidad estén disponibles de modo inmediato, desde la constancia de resolución de expedientes disciplinarios hasta la adecuada planificación de las necesidades de especialistas en estrecha conexión con las ofertas anuales de plazas en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la Sra. Ministra sostuvo que “en este real decreto-ley hemos dado respuesta a demandas históricas de los profesionales sanitarios. A tal efecto, el real decreto abre el camino a soluciones a la equivalencia entre categorías profesionales, criterios del sistema retributivo respecto a la acción social y la movilidad de los mismos. Además, se quiere dar un impulso definitivo a la troncalidad y a las áreas de capacitación específica que, pese a su importancia, se han mantenido en el dique seco durante muchos años. Asimismo, vamos a crear un registro estatal de profesionales que nos permitirá disponer de información fiable y actualizada sobre los diferentes aspectos que configuran la práctica profesional. Contando con los profesionales estoy convencida de que se podrán hacer progresos significativos en la calidad asistencial y en la eficiencia en la gestión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y atendiendo al control puramente externo que corresponde a este Tribunal, podemos considerar que no se ha vulnerado el segundo elemento de nuestro canon, la conexión de sentido entre la medida adoptada y la situación de urgencia previamente definida. La exposición de motivos de la norma alude a la necesidad de corregir determinadas situaciones estructurales que afectan al personal de los servicios de salud entre las que se mencionan las dos ahora impugnadas, que, a su vez, se ponen en relación con los objetivos de conseguir una más adecuada planificación y organización de los recursos humanos del Sistema Nacional de Salud que repercuta en una gestión más eficaz de los mismos. Lo que es del todo coherente con la finalidad de racionalización de los gastos en esta materia, consecuencia directa de la difícil situación por la que atravesaba el Sistema Nacional de Salud. En suma, no cabe considerar que la medida cuestionada está desconectada de los objetivos perseguidos por la norma de urgencia, por cuanto con ella se busca una racionalización de los recursos humanos disponibles. Por ello debe concluirse que esta disposición guarda una relación directa o de congruencia con la situación que se trata de afrontar. Por lo demás, se trata de una medida que forma parte de un conjunto sistemático de reformas relacionadas con los recursos humanos del Sistema Nacional de Salud, las cuales, en su finalidad de adecuación del gasto de personal, adquieren sentido en su visión global y no desde una perspectiva meramente aislada [SSTC 23/1993, FFJJ 4 y 5, y 93/2015, de 14 de mayo, FFJJ 7 b) y 10,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este motivo de inconstitucionalidad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presente recurso, en lo que se refiere a la disposición final sexta del Real Decreto-ley 16/2012, en cuanto añade un párrafo al artículo 4.1 del Real Decreto 1301/2006, de 10 de noviembre, en el inciso “y la Organización Nacional de Trasplantes cuando las actividades pretendidas superen dicho ámbito”.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Cándido Conde-Pumpido Tourón y la Magistrada doña María Luisa Balaguer Callejón a la Sentencia dictada en el recurso de inconstitucionalidad núm. 433-2013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y con el máximo respeto a la opinión defendida por la mayoría, formulamos el presente Voto particular a la Sentencia recaída en el recurso de inconstitucionalidad interpuesto por el Gobierno de Canarias contra diversos preceptos del Real Decreto-ley 16/2012, de 20 de abril, de medidas urgentes para garantizar la sostenibilidad del Sistema Nacional de Salud y mejorar la calidad y seguridad de sus prestaciones.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recuerda el fundamento jurídico 2, el enjuiciamiento del Real Decreto-ley 16/2012 que aborda esta sentencia viene precedido del recogido en las SSTC 139/2016, de 21 de julio; 183/2016, de 3 de noviembre; 33/2107, de 1 de marzo; 63/2017, de 25 de mayo, y 64/2017, de 25 de mayo. La remisión efectuada en los apartados b), c) y d) del fundamento jurídico 2 a lo decidido previamente nos lleva asimismo a reiterar por remisión nuestra discrepancia, en cuanto consideramos que la regulación incurre en los siguientes motivos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Por lo razonado en el Voto particular a la STC 139/2016, reiterado en el formulado a la STC 63/2017, entendemos que artículo 1 vulnera el artículo 86.1 CE, en su doble vertiente de exigencia del presupuesto habilitante de la extraordinaria y urgente necesidad y de prohibición de afectación al derecho a la protección de la salud consagrado en el artículo 43.1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razones por las que consideramos que el artículo 1.1, en cuanto comporta la exclusión de determinados colectivos del derecho a la asistencia sanitaria, vulnera además de modo directo el artículo 43.1 CE, son las que quedaron recogidas en los mismos votos particulares a las SSTC 139/2016 y 63/2017.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la impugnación del artículo 1.2 por motivos competenciales debió ser a nuestro juicio estimada, como quedó expuesto en los votos particulares a las SSTC 33/2017, 63/2017 y 64/2017.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Nos apartamos asimismo de la resolución de la mayoría porque consideramos que debió estimarse la impugnación de los artículos 8 y 9, por vulneración del artículo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examen de la conexión de sentido con la situación de extraordinaria y urgente necesidad descrita y la regulación de estos preceptos, no nos parecen convincentes ni el contenido de la exposición de motivos del Real Decreto-ley 16/2012 ni el debate de convalidación que se recogen en extracto en el fundamento jurídico 4 b), pues aluden a una justificación general de estas concretas medidas, en las que resulta difícil, si no imposible, localizar una conexión que dé pie a entender que no se han desbordado los límites constitucionales que el artículo 86.1 CE impone a la legislación de urgencia. Solo una concepción excesivamente laxa del control externo que compete al Tribunal puede llevar a entender que la clarificación de competencias, las necesidades del progreso científico, los derechos, deberes o demandas históricas de los profesionales sanitarios, o su libre circulación, explican de modo satisfactorio la necesaria conexión de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ponemos en cuestión que, como afirma la exposición de motivos del Real Decreto-ley 16/2012, “los fondos destinados a financiar los recursos humanos en los servicios de salud suponen la partida más importante de sus presupuestos”. Pero, desde la perspectiva del control constitucional ex artículo 86.1 CE, ello no implica aceptar acríticamente que toda medida estructural u organizativa que les afecte incida directamente en la racionalización o el ahorro de este importante componente del gasto público sanitario. La exposición de motivos se limita a afirmar que “la diversidad de normas reguladoras, la complejidad organizativa de titulaciones, categorías y situaciones laborales de los más de 600.000 trabajadores de los 17 servicios de salud ha ido generando una gran variabilidad interpretativa de las normas reguladoras, que se demuestran como verdaderas barreras para el desarrollo de los planes de eficiencia y ordenación que las comunidades autónomas están desarrollando en el marco económico de crisis actual y para la libertad de movimientos de los trabajadores entre servicios de salud”. A nuestro juicio, con estas vagas referencias a la diversidad regulatoria, la complejidad organizativa o la variabilidad interpretativa, el Gobierno no ha cumplido con la carga de proporcionar una motivación precisa, específica y suficiente que permita tener por justificado el recurso al decreto-ley para modificar el marco legal de la formación especializada de los profesionales sanitarios en áreas de capacitación específica, necesitado antes y después de la reforma de desarrollo reglamentario (art. 8), o para crear el registro estatal de profesionales sanitarios, puesto en marcha más de dos años después, mediante el Real Decreto 640/2014, de 25 de julio (artículo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número 433-2013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su fallo en lo referente a la impugnación del artículo 1.1 y 1.2 del Real Decreto-ley 16/2012. Las razones de mi discrepancia son plenamente coincidentes con lo expuesto en el apartado primero del Voto particular formulado por los Magistrados don Fernando Valdés Dal-Ré, don Cándido Conde-Pumpido Tourón y la Magistrada doña María Luisa Balaguer Callejón, al que me adhiero en ese concreto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