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122</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18 de septiembre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núm. 299-2013 interpuesto por don Francisco de Asís Serrano, recayó la STC 172/2016, de 17 de octubre, por la que se estimaba el recurso, declarando vulnerado el derecho fundamental del demandante de amparo al acceso a los recursos (art. 24.1 CE), a un proceso con todas las garantías y a la presunción de inocencia (art. 24.2 CE) y determinando que para el restablecimiento de los derechos vulnerados cumplía declarar la nulidad del Auto de 30 de octubre de 2012 y de la Sentencia núm. 571/2012, de 29 de junio, ambos de la Sala de lo Penal del Tribunal Supremo, declarando asimismo la firmeza de la Sentencia de la Sala de lo Civil y lo Penal del Tribunal Superior de Justicia de Andalucía núm. 15/2011, de 13 de octubre, dictada en el procedimiento abreviado núm. 1-2011, que condenaba al recurrente en amparo a la pena de inhabilitación especial para el cargo de Magistrado, como autor de un delito de prevaricación judicial del artículo 447.3 del Código penal por el tiempo de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el Tribunal Constitucional el día 8 de marzo de 2017, el Procurador de los Tribunales don Jorge Deleito García, actuando en nombre y representación de don Francisco de Asís Serrano Castro, formuló incidente de ejecución de la STC 172/2016, de 17 de octubre. Entendía el recurrente que dicha Sentencia no había sido adecuadamente ejecutada por cuanto, habiéndose solicitado la readmisión a la carrera judicial por parte del recurrente en amparo, dicha readmisión habría sido denegada por el Consejo General del Poder Judicial. En la fecha de interposición del incidente de ejecución, el Consejo General del Poder Judicial no había notificado al recurrente su decisión sobre la solicitud de readmisión a la carrera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Habiéndose tramitado oportunamente el incidente de ejecución, con la participación de quien ahora interpone el presente incidente de aclaración, mediante escrito registrado el 25 de mayo de 2017 en el que exponía sus alegaciones en relación con la desestimación del incidente de ejecución, la Sala Primera del Tribunal constitucional resolvió, mediante el ATC 105/2017, inadmitir el incidente de ejecución de la STC 172/2016 promovido por don Francisco de Asís Serrano Castro.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basa su decisión en un doble motivo. De un lado se considera que el incidente ha de ser inadmitido por no haberse aportado el acto recurrido, ni constar que tal acto haya sido notificado al recurrente antes de que se hubiera interpuesto el presente incidente. Y por otra parte, a mayor abundamiento, el Auto constata que el recurrente ha planteado por vía incidental una cuestión que no tiene que ver con la ejecución de la STC 172/2016, sino que aborda un problema de aplicación de las consecuencias legales aparejadas a una determinada condena penal, cuestión esta que podrá ser planteada y resuelta en la vía procesal oportuna en el marco de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doña Rosario Isabel Hinojosa, interesa la aclaración y, en su caso, que se subsane y/o complemente el ATC 105/2017, de 17 de julio, conforme a lo previsto en los artículos 80 y 93 de la Ley Orgánica del Tribunal Constitucional (LOTC) y, subsidiariamente, en el artículo 267 de la Ley Orgánica del Poder Judicial (LOPJ) y artículos 214 y 448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puntos sobre los que demanda la aclaración y/o complemento se refieren: i) al nombre del Magistrado firmante, ponente del ATC 105/2017; ii) a la necesidad de que se declare plenamente ejecutada la STC 172/2016; iii) que se condene al recurrente en amparo, Sr. Serrano Castro, a las costas causadas por mala fe procesal y temeridad, al formular sin agotar las vías ordinarias y sin que le fuera notificado el acto recurrido, el incidente de ejecución.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No procede acceder a la aclaración solicitada. Tal y como manifestó el Tribunal Constitucional en su ATC 328/2003, de 20 de octubre, el art. 267 de la Ley Orgánica del Poder Judicial, arbitra un cauce excepcional aplicable supletoriamente a esta jurisdicción constitucional [ex art. 80 de la Ley Orgánica del Tribunal Constitucional (LOTC)], permitiendo a esta Sala “aclarar algún concepto oscuro, suplir omisiones o rectificar errores materiales manifiestos y los aritméticos, sin que, por tanto, pueda servir ni para poner remedio a una falta de fundamentación jurídica (por todas, STC 59/2001, de 26 de febrero, FJ 2), ni para reinterpretar la Sentencia pretendidamente aclarada o corregida, ni para rectificar errores de Derecho, por más que el órgano judicial sea consciente de los mismos (entre otras muchas, STC 286/2000, de 27 de noviembre, FJ 2). Por ello, el llamado recurso de aclaración debe atenerse siempre a los supuestos taxativamente previstos en la Ley Orgánica del Poder Judicial, limitándose a la función específica reparadora para la que se ha establecido (por todas, STC 218/1999, de 29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lo anterior puede afirmarse que la solicitud de manifestación expresa del nombre del Magistrado o Magistrada ponente del Auto cuya aclaración se solicita no busca aclarar conceptos oscuros o suplir omisiones, o rectificar errores. No se trata de una omisión en el ATC 105/2017, sencillamente porque los Autos de Sala, en los incidentes de ejecución, o en las respuestas a los recursos de súplica del Fiscal, por ejemplo, no identifican nunca al Magistrado ponente, que solo aparece identificado en las sentencias de este Tribunal, siendo esta la práctica procesal sostenida de este órgano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puede afirmarse que tampoco ha lugar a la declaración adicional de la plena ejecución de la STC 172/2016, puesto que tal declaración se produjo en el ATC 105/2017, donde se decía expresamente que “el Tribunal no podría entender cercenada la eficacia de la situación jurídica declarada en la STC 72/2016, de 17 de octubre de 2016, en la medida en que el fallo de dicho pronunciamiento ha sido ya plenamente ejecutado”.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cuestión relativa a imposición de las costas causadas por el demandante en amparo a la parte solicitante de la aclaración del Auto, al interponer el incidente de ejecución de la STC 172/2016, puede entenderse implícitamente desestimada por esta Sala. Como ha declarado este Tribunal en repetidas ocasiones (por todas, STC 188/2006, de 19 de junio, FJ 5), la condena en costas en los procesos de amparo solo cabe cuando se aprecia en el recurrente temeridad, mala fe o abuso de derecho, y el Tribunal constata en el Auto cuya aclaración se interesa la falta de diligencia del recurrente en amparo, sin extraer de dicha falta de diligencia la existencia de temeridad, mala fe o abuso de derecho.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ha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