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139</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17 de octubre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5 de abril de 2017 tuvo entrada en el registro general del Tribunal Constitucional un escrito del Juzgado de lo Contencioso-Administrativo núm. 29 de Madrid (procedimiento núm. 315-2015), al que se acompaña, junto al testimonio del correspondiente procedimiento, el Auto de fecha 27 de marzo de 2017, por el que se acordaba plantear una cuestión de inconstitucionalidad con relación a los artículos 107 y 110.4 del Real Decreto Legislativo 2/2004, de 5 de marzo, por el que se aprueba el texto refundido de la Ley reguladora de las haciendas locales, por presunta vulneración de los principios de igualdad (art. 14 CE) y de capacidad económica (art. 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María del Pilar Brotons Ferri adquirió mediante escritura pública de 21 de junio de 2001, por una parte, una vivienda (con plaza de garaje), y, por otra, un trastero, ambos en el término municipal de Pinto (Madrid), por un precio de 90.353,15 € (la vivienda con plaza de garaje) y de 3.697,73 € (el trastero). Posteriormente, mediante escritura pública de fecha 23 de diciembre de 2014 efectuó una aportación no dineraria (de los dos inmuebles) a la ampliación de capital de la entidad Apsu Blanco, S.L., a cambio, el primero, de 820.059 participaciones de 0,10 € de valor nominal (por un importe total de 82.006,00 €), y el segundo, de 10.000 participaciones sociales de 0,10 € de valor nominal (por un importe total de 1.000 €).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Pese a no haber habido un incremento patrimonial en ninguno de los dos inmuebles transmitidos (en el primero, generó una pérdida patrimonial de 8.347,1 €, y, en el segundo, de 2.697,73 €), el Excmo. Ayuntamiento de Pinto le giró con fecha de 20 de mayo de 2016 dos liquidaciones por importe de 9.140,20 € (vivienda con garaje) y 54,07 € (trastero), por el concepto de impuesto sobre el valor de los terrenos de naturaleza urbana.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la liquidación anterior interpuso el correspondiente recurso de reposición que fue desestimado por resolución de la concejala delegada de economía de fecha 20 de mayo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Promovido un recurso contencioso-administrativo (procedimiento abreviado núm. 315-2015) contra la anterior resolución ante el Juzgado de lo Contencioso-Administrativo núm. 29 de Madrid, y una vez concluso el correspondiente procedimiento, mediante providencia con fecha de 22 de septiembre de 2016 se acordó oír al Ministerio Fiscal para que alegase sobre la posibilidad de plantear una cuestión de inconstitucionalidad en relación con los artículos 107 y 110.4 de la Ley reguladora de las haciendas locales (LHL).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providencia fue recurrida en súplica por el Ministerio Fiscal con fecha de 24 de octubre de 2016, al no cumplirse con los requisitos previstos en el artículo 35.2 de la Ley Orgánica del Tribunal Constitucional (LOTC) para el planteamiento de las cuestiones de inconstitucionalidad por no concretarse la norma cuestionada ni citarse los preceptos constitucionales que se entienden infringidos. El órgano judicial, mediante nueva providencia de 24 de octubre de 2016, dio traslado a la demás partes personadas del recurso de súplica, y después, por medio de Auto de fecha 14 de diciembre de 2016, estimó dicho recurso, dictando a continuación la providencia de fecha 21 de diciembre de 2016 en la que daba traslado a las partes y al Ministerio Fiscal para que alegasen sobre la posible inconstitucionalidad de los artículos 107 y 110.4 del Real Decreto Legislativo 2/2004, de 5 de marzo, por el que se aprueba el texto refundido de la Ley de haciendas locales, por si fueran contrarios a los principios de capacidad económica y no confiscatoriedad (art. 31.1 CE) y de tutela judicial efectiva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Evacuado el trámite de alegaciones conferido, tanto la parte recurrente (mediante escrito presentado el día 11 de enero de 2017), como el Ministerio Fiscal (por escrito de 27 de febrero de 2017), se mostraron conformes con su planteamiento. Por su parte, el Excmo. Ayuntamiento de Pinto, aunque le fue notificada expresamente la providencia de 21 de diciembre de 2016, no formuló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órgano judicial dictó Auto de planteamiento de la cuestión de inconstitucionalidad con fecha 27 de marzo de 2017. En él, luego de exponer los antecedentes de hecho de esta cuestión, hizo referencia a los requisitos procesales de cara al planteamiento de la cuestión y, en aplicación de los mismos, concluyó que procedía descartar las dudas relativas a la posible vulneración del derecho a proponer y practicar los medios de prueba (art. 24 CE), al entender que el artículo 110.4 LHL vincula sólo a los órganos de la Administración de cara a la forma y contenido de la liquidación administrativa, pero no a la actuación de los órganos judiciales en el seno de un proceso judicial que se rige por los preceptos procesales de proposición y práctica de la prueba. Igualmente, rechaza también la posible vulneración de los principios tributarios del artículo 31.1 CE cuando el inmueble objeto de la liquidación haya experimentado una disminución del valor real, pues en tal caso considera que no se habría devengado el tributo.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órgano judicial, el problema de constitucionalidad se halla entonces en los supuestos en los que, a través de la oportuna prueba, se haya acreditado que el incremento “real” del valor de los terrenos existe, pero de forma inferior al que resulta de la aplicación de las normas del artículo 107 LHL. El órgano judicial, al efecto de sostener que estamos en uno de estos casos y por tanto que su duda de constitucionalidad tiene relevancia, afirma que “se trae a estos autos una prueba pericial sobre la valoración de dichas fincas por la que se pretende demostrar que no ha habido incremento del valor o éste resulta inferior al que establece la resolución impugnada, aportando incluso escrituras de la adquisición y venta de los inmuebles”.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afirma que en estos casos en que el incremento “real” del valor de los terrenos existe, pero de forma inferior al que resulta de la aplicación de las normas del artículo 107 LHL, el precepto establece una ficción legal que permite gravar incrementos de valor en cuantía ficticia, sin que el juez tenga margen de interpretación, no pudiendo proceder a inaplicar la norma (como sí podría hacer en el supuesto de inexistencia absoluta de incremento de valor). Esto supone, no sólo que se estaría gravando una capacidad económica ficticia o inexistente, en contra del principio de capacidad económica del artículo 31.1 CE, sino que se genera un trato desigual entre los contribuyentes al someter a una misma carga fiscal a contribuyentes con valores reales y efectivos distintos, es decir, cuya riqueza real y efectiva es muy diferente, pero respecto de los cuales el resultado de la liquidación es similar por aplicación de las reglas del artículo 107 LHL, en contra del principio de igualdad del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sendos escritos de 23 de mayo de 2017, los Magistrados Excmo. Sr. don Juan Antonio Xiol Ríos y Excmo. Sr. don Alfredo Montoya Melgar comunicaron su voluntad de abstenerse en el conocimiento de la presente cuestión de inconstitucionalidad, por entenderse incluidos en el epígrafe 10 del artículo 219 de la Ley Orgánica del Poder Judicial (tener interés indirecto en la causa). Por ATC 90/2017, de 6 de junio, el Pleno de este Tribunal acordó estimar justificadas las abstenciones formuladas, apartándoles definitivamente del conocimiento de la cuestión y de todas sus incidencias.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18 de julio de 2017, la Sección Primera del Pleno del Tribunal Constitucional acordó oír al Fiscal General del Estado para que, en el plazo de diez días, y a los efectos que determina el artículo 37.1 LOTC, alegase lo que considerase conveniente “en relación con la falta de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evacuó el trámite conferido mediante escrito de 20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en primer término, que dado que en la providencia que abre el trámite de audiencia ex art. 35.2 LOTC no consta ninguna referencia al artículo 14 CE, esta segunda parte de la duda de constitucionalidad debe excluirse del examen de fondo de esta cuestión, cuyo objeto debe concretarse exclusivamente en la conformidad o no de los preceptos legales cuestionados con el artículo 31 CE, en su vertiente de capacidad contributiva. Señala igualmente que, a pesar de dirigirse la cuestión contra el artículo 107 LHL en su totalidad, debe entenderse referida exclusivamente a su apartado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juicio, la presente cuestión de inconstitucionalidad no cumple tampoco con el requisito de procedibilidad consistente en que la audiencia a las partes sea simultánea, puesto que la providencia de 21 de diciembre de 2016, aunque otorgó al efecto un plazo común de diez días a las partes y al Ministerio Fiscal, no fue notificada a este último hasta el 9 de febrero de 2017, mientras la notificación a las partes se había tramitado en la misma fecha de la providencia, lo que en la práctica supone desnaturalizar la función que se asigna al hecho de que el plazo sea común para las partes y el Ministerio Fiscal. La falta de cumplimiento de este requerimiento de procedibilidad ex artículo 35.2 LOTC conlleva, según el Fiscal, la inadmisión de esta cuestión de inconstitucionalidad, apoyando su criterio en el ATC 221/2013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por el contrario, considera que el Auto de planteamiento realiza correctamente el juicio de relevancia “al indicar que el menor valor del terreno transmitido habría generado una clara minusvalía para el demandante y pondría de manifiesto no un incremento de valor del inmueble sino una pérdida, y a tal efecto el demandante ha aportado prueba relativa a dicho decremento de valor, por lo que considera [el juez], con apoyo en la STC 26/2017, que la norma cuestionada no permitía valorar posibles faltas de incremento del valor de los terrenos de naturaleza urbana y estaría gravando una renta no real o potencial y, por ello, desconocería el principio de capacidad económica del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afirma también que, sin perjuicio de que procede inadmitir esta cuestión de inconstitucionalidad por faltar un requisito de procedibilidad esencial como es la simultaneidad de la audiencia a las partes, hay que tener presente que, dado que la STC 59/2017, de 11 de mayo, ha declarado inconstitucionales y nulos los artículos 107.1, 107.2 a) y 110 4 LHL, el objeto de la cuestión ha desaparecido sobrevenidamente, lo que ya ha sido apreciado por este Tribunal en el ATC 88/2017.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respecto de los artículos 107 y 110.4 del Real Decreto Legislativo 2/2004, de 5 de marzo, por el que se aprueba el texto refundido de la Ley reguladora de las haciendas locales, por presunta vulneración de los principios de igualdad (art. 14 CE) y de capacidad económica (art. 31 CE). El órgano judicial concreta el problema de constitucionalidad en los supuestos en los que, a través de la oportuna prueba, se haya acreditado que el incremento “real” del valor de los terrenos existe, pero de forma inferior al que resulta de la aplicación de las normas del artículo 107 del Real Decreto Legislativo 2/2004.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Abierto por este Tribunal el trámite de audiencia al Ministerio Fiscal regulado en el artículo 37.1 de la Ley Orgánica del Tribunal Constitucional (LOTC), al efecto de que alegase lo que considerase conveniente “en relación con la falta de cumplimiento de los requisitos procesales (art. 35.2 LOTC)”, el Fiscal, aparte de hacer algunas precisiones sobre el objeto del proceso [limitación al art. 107.2 a) y 110.4, así como exclusión del art. 14 como parámetro de control], insta la inadmisión de la cuestión por faltar el requisito procesal de que la audiencia a las partes ex artículo 35.2 fuese simultánea. Entiende que la lejanía en las fechas de notificación de la providencia de audiencia determinó de facto que las partes evacuaran este trámite de modo sucesivo.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Argumenta, por el contrario, que sí es correcto el juicio de relevancia. En palabras del Fiscal , ese juicio sería suficiente “al indicar que el menor valor del terreno transmitido habría generado una clara minusvalía para el demandante y pondría de manifiesto no un incremento de valor del inmueble sino una pérdida, y a tal efecto el demandante ha aportado prueba relativa a dicho decremento de valor, por lo que considera [el juez], con apoyo en la STC 26/2017, que la norma cuestionada no permitía valorar posibles faltas de incremento del valor de los terrenos de naturaleza urbana y estaría gravando una renta no real o potencial y, por ello, desconocería el principio de capacidad económica del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Apunta, además, que así entendida la duda de constitucionalidad, el objeto de la cuestión ha desaparecido sobrevenidamente (STC 59/2017 y ATC 88/2017).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sin perjuicio de reconocer que, como argumenta el Fiscal, la diferencia de fechas en la notificación de la providencia de audiencia ex artículo 35.2 LOTC puede producir de facto que las partes disfruten este trámite de modo sucesivo y con ello que resulte desnaturalizado, aprecia que el requisito de procedibilidad que sustancialmente falta en este proceso constitucional es la clara insuficiencia del juicio de relevancia, en los términos que continuación se detallan.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demandante funda su queja en que la transmisión que dio lugar al impuesto ponía de relieve que los inmuebles trasmitidos habían sufrido un decremento de valor, por lo que no había ninguna capacidad económica que gravar. Apoya su argumento en la diferencia entre el precio que constataba en la escritura pública de adquisición (90.353,15 € respecto de la vivienda y 3.697,73 € respecto del trastero) y el valor inferior que se recogía en la escritura pública mediante la que se aportaron esos dos inmuebles a la ampliación de capital de la entidad Apsu Blanco, S.L. (a cambio, el primero, de 820.059 participaciones de 0,10 € de valor nominal, lo que supone un importe total de 82.006,00 €; y el segundo, de 10.000 participaciones sociales de 0,10 € de valor nominal, por un importe total de 1.000 €).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esta alegación del demandante, el Auto de planteamiento rechaza la posible vulneración del artículo 31.1 CE cuando el inmueble objeto de la liquidación haya experimentado una disminución del valor real, pues en tal caso considera el juez que no se habría devengado el tributo, y centra el problema de constitucionalidad en los supuestos en los que se haya acreditado que el incremento real del valor de los terrenos existe, pero de forma inferior al que resulta de la aplicación de las normas del artículo 107.2 a) del Real Decreto Legislativo 2/2004.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para sostener, en contra de lo argumentado en la demanda, que en el proceso pendiente ante él se da ese caso de incremento real del valor de los terrenos pero inferior al calculado ope legis, que es lo que determinaría la relevancia del precepto en los términos que el órgano judicial lo cuestiona, el auto de planteamiento se limita a razonar que “se trae a estos autos una prueba pericial sobre la valoración de dichas fincas por la que se pretende demostrar que no ha habido incremento del valor o éste resulta inferior al que establece la resolución impugnada, aportando incluso escrituras de la adquisición y venta de los inmuebles”.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desprende de la parte transcrita, el juzgado promotor de la cuestión de inconstitucionalidad se apoya en una prueba pericial, de la que no se detalla ni sus características identificativas ni su contenido. Pero lo más relevante es que el órgano judicial promotor se queda en una posición de indeterminación acerca de su valoración de esa prueba pericial, pues dice que con ella “se pretende demostrar que no ha habido incremento del valor o éste resulta inferior al que establece la resolución impugnada”, no añadiendo ninguna argumentación que sostenga porqué concluye que en este caso nos hallamos en la última situación de las dos mencionadas.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el órgano judicial afirma expresamente que su duda de constitucionalidad solo afecta a los casos en que hay un incremento real inferior al establecido por los preceptos legales cuestionados, pero no justifica de ninguna manera que esa sea la situación fáctica que presenta el proceso pendiente ante él. En estas circunstancias queda prácticamente indeterminado si, a su juicio, dicho proceso que él ha de resolver responde a esas características o, por el contrario, subyace en él un supuesto de ausencia de incremento de valor, caso éste último en que el propio juez afirma que su duda de constitucionalidad no tiene relevancia. Por tanto, no hay en el auto de planteamiento un razonamiento que sostenga que la conformidad o no a la Constitución del artículo 107.2 c) del Real Decreto Legislativo 2/2004 sea relevante para decidir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en principio, el Tribunal Constitucional quien tiene que decidir las cuestiones de hecho o de legalidad ordinaria que se susciten en el proceso a quo y puedan tener repercusión con la relevancia de la duda de constitucionalidad que eleva el juez promotor, Estas apreciaciones corresponden inicialmente al órgano judicial en el ejercicio de la función que constitucionalmente le corresponde (art. 117.3 CE). Pero sí es competente el Tribunal Constitucional para verificar que el órgano judicial ha argumentado suficientemente la relación entre su duda de constitucionalidad y el proceso que está pendiente ante él, pues de lo contrario la cuestión de inconstitucionalidad puede perder el carácter concreto que la caracteriza (por todos, ATC 113/2017, de 18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por las razones expuestas el Tribunal considera que, no habiendo realizado el órgano judicial un razonamiento suficiente acerca de la relevancia de su duda de constitucionalidad para con el proceso que ha de resolver, procede inadmitir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1685-2017, promovida en relación a los artículos 107 y 110.4 del Real Decreto Legislativo 2/2004, de 5 de marzo, por el que se aprueba el texto refundido de la Ley reguladora de las haciendas locales.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octubre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