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2017, la Procuradora de los Tribunales doña María del Carmen Iglesias Saavedra, en nombre y representación de doña Paula Mijares Casado, y bajo la dirección del Letrado don Santiago González Fernández,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 la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en lo relativo a las penas privativas de libertad impuestas a la recurrente, argumentando el superior interés del menor ya que es madre de un niño de dos años cuya guarda y custodia tiene atribuida.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la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uno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(art. 24.1 CE), por haberse producido un rechazo de plano de todas las causas de nulidad alegadas por las defensas incluyendo la agravación de la condena en segunda instancia en ausencia de inmediación y sin oír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la recurrente y al Ministerio Fiscal el plazo común de tres días naturales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la recurrente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por escrito registrado el 20 de noviembre de 2017, presentó alegaciones reiterando la solicitud de suspensión por los razonamientos expresados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la recurrente, únicas cuya suspensión ha sido solicitada. En concreto, en dicha Sentencia las penas privativas de libertad que se han impuesto a la recurrente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la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la recurrente ha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garantizar la efectividad del cumplimiento de la pena se procederá en el plazo más breve a resolver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