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7 de febrero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12 de septiembre de 2017, el Abogado del Estado, en representación del Presidente del Gobierno, interpuso recurso de inconstitucionalidad contra los artículos 3; 5, apartados primero a cuarto; vigésimo y vigesimocuarto; inciso final de la disposición adicional primera; disposición adicional quinta y las disposiciones transitorias segunda y tercera de la Ley de las Cortes de Aragón 10/2016, de 1 de diciembre, de medidas de emergencia en relación con las prestaciones económicas del Sistema público de servicios sociales y con el acceso a la vivienda en la Comunidad Autónoma de Aragón. Norma que fue publicada en el “Boletín Oficial de Aragón” núm. 237, el 12 de diciembre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se invocan los artículos 161.2 CE y 30 de la Ley Orgánica del Tribunal Constitucional (LOTC) a fin de que se produzca la suspensión de la aplicación exclusivamente de los artículos 20 y 24, y de la disposición transitoria segunda de la Ley 10/2016, de 1 de diciembre, de medidas de emergencia en relación con las prestaciones económicas del Sistema público de servicios sociales y con el acceso a la vivienda en la Comunidad Autónoma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 de octubre de 2017, el Pleno del Tribunal Constitucional, a propuesta de la Sección Cuarta, acordó admitir a trámite el recurso de inconstitucionalidad, dar traslado de la demanda y documentos presentados, conforme establece el artículo 34 LOTC, al Congreso de los Diputados y al Senado, así como a la Diputación General de Aragón y a las Cortes de Aragón, al objeto de que en el plazo de quince días pudieran personarse en el proceso y formular las alegaciones que estimaren convenientes. Asimismo, se tuvo por invocado por el Presidente del Gobierno el artículo 161.2 LOTC, lo que, a su tenor y conforme dispone el artículo 30 LOTC, produce la suspensión de la vigencia y aplicación exclusivamente de los preceptos citados en el escrito de interposición, esto es de los artículos 20 y 24, así como de la disposición transitoria segunda de la Ley de las Cortes de Aragón 10/2016, de 1 de diciembre, desde la fecha de interposición del recurso —12 de septiembre de 2017— para las partes del proceso y desde el día en que apareciera publicada la suspensión en el “Boletín Oficial del Estado” para los terceros, lo que se comunicó a los Presidentes de la Diputación General de Aragón y de las Cortes de Aragón. Por último, también se ordenó publicar la incoación del recurso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Presidenta del Congreso de los Diputados, mediante escrito registrado el día 19 de octubre de 2017, comunicó que la Mesa de la Cámara, en su reunión del 17 de octubre anterior, había acordado la personación en este procedimiento y dio por ofrecida su colaboración a los efectos del artículo 88.1 LOTC. Por escrito de la misma fecha,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20 de octubre de 2017, la Letrada de las Cortes de Aragón, en la representación que legalmente ostenta de estas, presentó escrito de personación y solicitó una prórroga del plazo otorgado para formalizar el escrito de alegaciones. Por providencia de 23 de octubre de 2017, el Pleno acordó incorporar a las actuaciones el escrito presentado y prorrogar el plazo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día 2 de noviembre de 2017, la Letrada de la Comunidad Autónoma de Aragón, en la representación que legalmente ostenta del Gobierno de Aragón, presentó escrito de personación y solicitó una prórroga del plazo otorgado para formalizar el escrito de alegaciones. Por providencia de 6 de noviembre de 2017, el Pleno acordó incorporar a las actuaciones el escrito presentado y prorrogar el plazo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día 14 de noviembre de 2017, la Letrada de las Cortes de Aragón presentó sus alegaciones solicitando la desestimación del recurso de inconstitucionalidad. Mediante otrosí instó que, sin agotar el plazo de los cinco meses ex artículos 161.2 CE y 30 LOTC, este Tribunal diese audiencia a las Cortes de Aragón para formular alegaciones sobre la pertinencia de ratificar o levantar la suspensión de los artículos 20 y 24, así como de la disposición transitoria segunda de la Ley 10/2016, al amparo de lo dispuesto en el artículo 30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virtud de escrito registrado en este Tribunal el día 21 de noviembre de 2017, la Letrada del Gobierno de Aragón presentó sus alegaciones solicitando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22 de noviembre de 2017, el Pleno acordó incorporar ambos escritos de alegaciones a los autos y, en cuanto a la solicitud formulada por la Letrada de las Cortes de Aragón en el otrosí sobre la suspensión de los preceptos objeto del recurso, oír a las partes personadas y al Abogado del Estado para que, en el plazo de cinco días, expusieran lo que consideraran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 las Cortes de Aragón presentó sus alegaciones el día 29 de noviembre de 2017 interesando el levantamiento de la suspensión que pesa sobre los artículos 20, 24 y sobre la disposición transitoria segunda de la Ley 10/2016 por las razones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en primer lugar, el carácter excepcional del mantenimiento de la suspensión de la vigencia de los preceptos de una ley como premisa básica, pues toda ley de una Comunidad Autónoma goza de presunción de legitimidad, por ser fruto del ejercicio de la autonomía política y de la libre configuración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la Letrada de las Cortes que recae sobre el Gobierno de la Nación la carga procesal de acreditar, para mantener la suspensión de la ley más allá de los cinco meses previstos constitucionalmente, la concurrencia de los graves prejuicios de imposible o muy difícil reparación que se causarían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analizada la doctrina constitucional sobre suspensión de la normativa autonómica, la Letrada de las Cortes de Aragón realiza una ponderación de las circunstancias del caso, a la luz de dicha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los perjuicios que el Abogado del Estado asocia en su escrito de interposición al levantamiento de la suspensión de los preceptos impugnados ya se contenían en la argumentación recogida en las impugnaciones de otras leyes autonómicas que se adoptaron en su día en materia de vivienda, cuando, sin embargo, la normativa aragonesa contiene medidas distintas que merecen una valoración particularizada, al igual que resulta necesario tener en cuenta, también, el tiempo transcurrido desde las primeras leyes autonómicas en la materia que fueron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la Letrada que las medidas recurridas ya han estado en vigor bastantes meses, sin que se hayan observado perjuicios irreparables para los intereses públicos que legitimen el mantenimiento de la suspensión. Así, las medidas suspendidas han estado en vigor durante 18 meses (del 18 de diciembre de 2015 al 19 de septiembre de 2016, a través de las previsiones contenidas en el Decreto-Ley 3/2015 y del 1 de enero de 2017 hasta el 12 de septiembre de 2017, en virtud de las previsiones impugnadas), pues sólo se impugnaron, tanto las contenidas en el Decreto-ley 3/2015, como las contenidas en la Ley 10/2016, después de haberse acudido al procedimiento previsto en el artículo 33.2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Letrada de las Cortes no parece que la aplicación práctica de las previsiones contenidas en la ley aragonesa puedan tener una potencialidad dañosa en el conjunto del sistema financiero por el solo hecho de que las personas definidas en la ley como grandes propietarios o las entidades financieras con viviendas desocupadas radicadas en Aragón, viviendas procedentes de procedimientos de ejecución hipotecaria, de pago o dación en pago de deudas con garantía hipotecaria, deban, sin perder su titularidad, ponerlas a disposición del sistema de vivienda de la Comunidad Autónoma, obligándose a aceptar como inquilinos de las mismas a las personas seleccionadas por la Administración entre las personas más vulnerables, con necesidad de una vivienda habitual, cuando se haya demostrado la insuficiencia de los convenios de colaboración voluntaria y de las viviendas del sector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escrito de la Letrada de las Cortes, las medidas articuladas por el Estado y las instrumentadas por la Comunidad Autónoma de Aragón en la Ley 10/2016 no son contradictorias entre sí, sino que son fruto del ejercicio de distintas competencias que “tienen elementos de tangencia”, sin que, a su juicio, sea este el momento en el que corresponda analizar la vindicatio potestatis de la normativa estatal, pues, en tal caso, se estaría prejuzgando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 propósito del supuesto de suspensión de los lanzamientos en los procesos judiciales o extrajudiciales de ejecución hipotecaria, en los que se trate de vivienda habitual de persona o unidad de convivencia de buena fe que se encuentren en supuestos de especial vulnerabilidad, medida prevista en el artículo 20 y en la disposición transitoria segunda de la Ley aragonesa 10/2016, ambos impugnados por el Estado, señala el escrito de la Letrada de las Cortes que coincide básicamente con lo ya establecido por el legislador estatal en el artículo 1 de la Ley 1/2013, cuya última modificación fue llevada a cabo por Real Decreto-ley 5/2017, de 17 de marzo, por el que se modifica el Real Decreto-ley 6/2012, de 9 de marzo, de medidas urgentes de protección de deudores hipotecarios sin recursos, y la Ley 1/2013, de 14 de mayo, de medidas para reforzar la protección a los deudores hipotecarios, reestructuración de deuda y alquiler social. Fruto de dicha legislación, hasta 2020 no será posible el lanzamiento, cuando en un proceso de ejecución hipotecaria se adjudique al acreedor la vivienda habitual de personas que se encuentren en situación de especial vulnerabilidad y en las circunstancias económicas previstas también en la Ley estatal 1/2013, por lo que la novedad sustantiva del artículo 20 de la Ley aragonesa 10/2016 se refiere a que hace extensiva dicha suspensión a los procedimientos de desahucio por impago de alquiler cuando, encontrándose la persona o unidad de convivencia en idéntica situación de especial vulnerabilidad, el sujeto que ha iniciado el proceso de lanzamiento cumpla alguna de las condiciones allí especificadas.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ese contexto normativo, alega la Letrada de las Cortes que la suspensión de los lanzamientos prevista por el legislador aragonés y considerada genéricamente (art. 20.1, 20.3, y disposición transitoria segunda) no puede causar ningún perjuicio irreparable a los intereses públicos, sin imputarlo, en su caso, también al artículo 1 de la Ley 1/2013, de 14 de mayo, de la que es reproducción. Y, en cuanto a la ampliación al supuesto de desahucio por impago de alquileres llevada a cabo asimismo por la Ley aragonesa (art. 20.2 y 20.4), no tiene esa potencialidad dañosa, sino que ha sido considerada el complemento indispensable para atribuir verdadera eficacia a la legislación estatal, sin crear una diferencia de trato injustificada entre propietarios y arrendatarios de vivienda habitual objeto de procesos de lanzamiento.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 continuación, el escrito de la representante de las Cortes que el entorno económico no es ya tan adverso y el sistema financiero español se ha estabilizado. Los perjuicios alegados por el Abogado del Estado son exagerados, meramente hipotéticos, se fundamentan en consideraciones generales y abstractas, redactadas en 2013 a propósito de las primeras disposiciones autonómicas en la materia y arrastradas en las argumentaciones, que hacen caso omiso a la circunstancia de que el contexto económico ha cambiado.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la Letrada de las Cortes considerando que no pueden invocarse en este caso por el Abogado del Estado los mismos daños y perjuicios de imposible o difícil reparación que se pusieron de manifiesto, genéricamente, como en una cláusula de estilo, y se valoraron por el Tribunal Constitucional en los AATC 69/2014, de 10 de marzo (asunto: Ley del Parlamento de Navarra 24/2013, de 2 de julio, de medidas urgentes para garantizar el derecho a la vivienda en Navarra); 115/2014, de 8 de abril, y 32/2015, de 17 de febrero (ambos en relación con la Ley del Parlamento de Andalucía 4/2013, de 1 de octubre, de medidas para asegurar el cumplimiento de la función social de la vivienda); 135/2015, de 21 de junio (asunto: Ley 2/2014, de 20 de junio, de modificación de la Ley 2/2003, de 30 de enero, de vivienda en Canarias y de medidas para garantizar el derecho a la vivienda); 144/2016, de 19 de julio (asunto: Ley del Parlamento Vasco 3/2015, de 18 de junio, de vivienda); y 160/2016, de 20 de septiembre (asunto: Ley del Parlamento de Cataluña 24/2015, de 29 de julio, de medidas urgentes para afrontar la emergencia en el ámbito de la vivienda y la pobreza energética). Siendo distintas las medidas articuladas por el legislador aragonés y dado el tiempo transcurrido, con la consiguiente mejora del contexto financiero, no pueden decirse iguales los menoscabos de intereses públicos eventualmente derivados de la aplicación de los preceptos impugnados de la Ley 10/2016, por lo que el resultado de la ponderación que ha de realizar el máximo intérprete de la Constitución no debe ser el mismo que entonces.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Letrada de las Cortes de Aragón que, en la Ley autonómica, no hay expropiación del uso de las viviendas desocupadas de determinadas entidades, es decir, no hay una transferencia coactiva y temporal de la titularidad de las viviendas. Nada de eso sucede en la regulación aragonesa, pues, como determinan los apartados segundo y tercero del controvertido artículo 24, se trata de una puesta de dichas viviendas a disposición de la Administración para que sea esta la que elija a los inquilinos, entre personas o unidades de convivencia de quienes les conste hallarse en situación de vulnerabilidad, quedando, no obstante, inalterada la titularidad de la vivienda. No hay privación del derecho de propiedad a los legítimos titulares de las viviendas desocupadas, sino imposición del deber de arrendárselas a quienes diga la Administración autonómica a cambio de un precio.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considera la Letrada que tampoco puede argumentarse con rigor que la suma de las medidas adoptadas en Aragón con las incluidas en otras leyes autonómicas pudiera ser la que perturbara, por su efecto acumulado, el buen funcionamiento del sistema financiero, dado que las otras leyes fueron suspendidas en su día, con lo que los perjuicios eventualmente acumulados sólo podrían valorarse de levantarse la suspensión de los preceptos de aquellas disposiciones autonómicas que continúan privados de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mediante escrito registrado en este Tribunal con fecha 30 de noviembre de 2017, evacuó el trámite conferido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Entiende, pues, que ha de procederse a considerar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el Abogado del Estado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al respecto, sobre los graves e irreparables perjuicios que habría de ocasionar el levantamiento de la suspensión de la vigencia de los preceptos referidos con fundamento en una serie de informes que acompaña.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destaca el escrito del Abogado del Estado que, en el informe que se acompaña del Ministerio de Economía y Competitividad, se ofrecen las razones que avalan el mantenimiento de la suspensión de las normas impugnadas, teniendo exclusivamente en cuenta los perjuicios de imposible o difícil reparación que su eficacia puede producir. Junto con este documento, se acompañan dos informes, uno emitido por el Banco de España con fecha 8 de septiembre de 2016, y otro emitido por la Sociedad de gestión de activos procedentes de la reestructuración bancaria (SAREB), de fecha 7 de septiembre de 2016, que se aportaron en el procedimiento anterior (recurso de inconstitucionalidad 4952-2016), seguido contra el Decreto-ley 3/2015 porque mantienen, dada la similitud de la Ley, toda su vigencia. Junto a ello se aporta un nuevo documento, del Banco de España, emitido específicamente respecto de la Ley 10/2016, que ratifica la razones expresadas en el caso anterior. Subraya el Abogado del Estado que todas estas instancias referidas, así como la Comisión Europea y el sector financiero (así, las asociaciones que representan a bancos y cajas de ahorro), son unánimes a la hora de valorar negativamente el considerable impacto que esta medida tiene sobre la situación financiera de las entidades, el crédito hipotecario, el mercado de cédulas hipotecarias y los compromisos internacionales asumidos por España, fundamentalmente el memorando de entendimiento firmado el 20 de julio de 2012, y su seguimiento, en el marco de la ayuda financiera otorgada a nuestro país por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dichos informes se acreditan, a juicio del Abogado del Estado, las consecuencias negativas para el interés público y para el sector financiero, en caso de que se levantara la suspensión de la vigencia y aplicación de los preceptos impugnados en este recurso de inconstitucionalidad, resultando especialmente preocupante el impacto de la norma aragonesa en la actividad y en el plan de negocio de la SAREB, instrumento clave del programa de reestructuración del sector financiero español derivado de los compromisos internacionales adquiridos por nuestro país en el marco de la asistencia financiera recibida en 2012, por el efecto acumulativo de las iniciativas autonómicas con el mismo contenido. En concreto, el levantamiento de la suspensión podría acarrear perjuicios de muy difícil reparación, por cuanto, a su entender, afectan de modo directo y expreso a la finalidad y actividad de la SAREB, cuyo éxito es garantía de que la reestructuración de las entidades de crédito, que se ha realizado en los últimos meses, se lleve a cabo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señala el Abogado del Estado, que la eventual aplicación de los preceptos de la Ley impugnada puede determinar un incremento de los costes de reestructuración asumidos por el Estado, sin añadir un mayor nivel de protección social a los deudores hipotecarios sin recursos respecto de la ya garantizada por la normativa estatal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subraya el Abogado del Estado, que el artículo 20 de la norma autonómica introduce en el ordenamiento aragonés un supuesto especial de suspensión automática e incondicionada en los procesos de ejecución hipotecaria que no está previsto en la legislación estatal y que es muy similar al que el Decreto-ley aragonés 3/2015 preveía en su artículo 9, cuyo ámbito de aplicación se ve ahora ampliado, al extenderse la suspensión a los procedimientos de desahucio por impago del alquiler.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régimen de suspensión se completa con la previsión contenida en la disposición transitoria segunda.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artículo 24 de la norma autonómica impone a determinados propietarios de viviendas desocupadas un deber jurídico concreto, consistente en cederlas a la Comunidad Autónoma a fin de que esta pueda ponerlas a disposición de personas con necesidad de alojamiento y que se encuentren en situación de vulnerabilidad.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Abogado del Estado cómo la proliferación de normas autonómicas sobre esta extremo ha ocasionado un impacto cada vez más amplio en la estabilidad del sistema financiero español. Tras enumerar las diferentes normas autonómicas similares a la aquí impugnada, recuerda el Abogado del Estado que este Tribunal ha acordado el mantenimiento de la suspensión de la mayoría de los preceptos impugnados y, a tal efecto, reproduce los argumentos recogidos en los AATC 69/2014, FJ 10; 115/2014, FJ 5, y 144/2016, 160/2016.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 a continuación, el escrito del Abogado del Estado los intereses particulares afectados por el mantenimiento de la suspensión y destaca que dicho mantenimiento no causará perjuicio a las personas en situación de especial vulnerabilidad social, pues el Estado ha reaccionado ya ante esta realidad, a lo que agrega que la concurrencia de las medidas adoptadas por la Ley autonómica, lejos de coadyuvar al objetivo de mejorar la situación de las personas que no disponen de vivienda, pueden resultar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examinar las normas dictadas por el Estado para proteger a los colectivos más vulnerables señala el escrito del Abogado del Estado que la norma aragonesa —al igual que las otras normas autonómicas anteriormente referidas— se diferencia fundamentalmente de las normas estatales en la estructura jurídica que soporta las medidas de protección. La normativa de ámbito nacional contempla la suspensión temporal de los procedimientos de ejecución, complementada con un esquema de adhesión voluntaria (código de buenas prácticas). Las normas autonómicas, por su parte, descansan en un procedimiento coercitivo (concretamente, la previsión de un régimen sancionador sobre incumplimientos de la obligación de cesión obligatoria del derecho de uso de viviendas desocupadas en el caso de la norma aragonesa).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coexistencia de dos regímenes —estatal y autonómico/foral— con idéntica finalidad, pero distinta articulación jurídica, hace previsible que surjan conflictos de aplicación que pongan en riesgo, tanto la deseable seguridad jurídica como la propia finalidad de protección perseguida por estas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escrito examinando el fundamento de los perjuicios irreparables al interés general que produciría el levantamiento de la suspensión y que se acreditarían por los informes aportados de la Secretaria General Técnica del Departamento ministerial y del Banco de España. Afirma el Abogado del Estado que la aplicación de la Ley impugnada es susceptible de causar graves perjuicios al sistema financiero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señala, en primer lugar, el riesgo de incumplimiento de los compromisos de nuestro país de carácter internacional, pues, si bien el memorando de entendimiento sobre condiciones de política sectorial financiera de 20 de julio de 2012 (“MoU”) finalizó con éxito en enero de 2014, el Reino de España —mientras no devuelva, al menos, el 75 por 100 de la ayuda financiera recibida del mecanismo europeo de estabilidad (“MEDE”)— se encuentra dentro del denominado marco de vigilancia post-programa.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refiere, la Comisión Europea señaló que el Decreto-ley 6/2013 de la Junta de Andalucía había generado incertidumbres legales y económicas sobre los bancos españoles, con posibles efectos negativos sobre la estabilidad del sistema financiero español en su conjunto, ya de forma directa (por las posibles sanciones a entidades de crédito y la medida de expropiación temporal del uso de las viviendas dadas en garantía), ya de forma indirecta (por la reducción del apetito inversor en el sector inmobiliario español y el deterioro del valor de las carteras de las entidades de crédito y de la capacidad de estas de financiarse mediante cédulas hipotecarias).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Agrega, en este sentido, que la Comisión Europea también destacó el potencial impacto negativo de iniciativas autonómicas de protección de los deudores hipotecarios para las actividades de la SAREB, tanto de forma directa (sanciones por inmuebles deshabitados) como indirecta (por el aumento de la incertidumbre que puede desincentivar las ofertas de potenciales compradores y deteriorar el valor de la cartera de activos de la SAREB). Añade que las inquietudes manifestadas por las autoridades internacionales sobre el impacto de la Ley impugnada son compartidas, también, por el Banco de España, por lo que la aplicación de los preceptos objeto de suspensión de la Ley impugnada puede determinar un incremento de los costes de reestructuración asumidos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nada se opone a que las normas autonómicas contemplen actuaciones complementarias, como, por ejemplo, la financiación con sus recursos económicos a las personas y familias en dificultades, pero lo que no pueden es establecer mecanismos que interfieran y perjudiquen las medidas adoptadas por el Estado. Este criterio ha sido acogido en la STC 93/2015, de 14 de mayo de 2015, cuando, en el fundamento jurídico 18, se hizo mención al menoscabo de las competencias estatales por parte del Decreto-ley 6/2013, dictado por la Junta de Andalucía, de contenido similar a la ley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escrito del Abogado del Estado, la aplicación de algunas disposiciones de la Ley impugnada, y en particular la suspensión de los desahucios y la expropiación temporal del derecho de uso, podrían lastrar las iniciativas de venta de paquetes de activos, en detrimento del objetivo último de la SAREB, y generar mayor incertidumbre por deterioro del valor de las carteras de activos.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introducidas por los preceptos impugnados suponen un deterioro de la posición financiera de las entidades de crédito, en tanto que suponen un coste directo para estas o implican un deterioro del valor de determinadas partidas en sus balances. Debe tenerse en cuenta que la ley afecta particularmente a las entidades financieras y, por ello, este sector se verá especialmente afectado en la medida en que recibe, como consecuencia de ejecuciones hipotecarias o de convenios con los deudores hipotecarios, un porcentaje elevado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insiste en que no se trata de una norma aislada, sino que se une a otras similares aprobadas en los últimos años a nivel autonómico que, de mantenerse en vigor, podrían agravar aún más, de forma combinada, los efectos negativos para el sector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el artículo 24 de la norma aragonesa prevé la cesión obligatoria de viviendas desocupadas, propiedad de entidades financieras, sociedades inmobiliarias bajo su control y la SAREB, por un período no determinado, a fin de incorporarlas al fondo social de vivienda de Aragón y dar respuesta a las necesidades de alojamiento de personas en situación de vulnerabilidad, cuya determinación está pendiente de desarrollo reglamentario. En cuanto a las condiciones económicas en que debe realizarse la cesión de la vivienda a la Administración, la Ley impugnada establece que las rentas aplicables serán determinadas mediante Orden del titular del Departamento competente en materia de vivienda, no pudiendo ser ésta superior al treinta por ciento de los ingresos de la persona o unidad de convivencia (la diferencia entre la renta máxima que abonará la persona o unidad de convivencia y la renta aplicable de que se trate la abonará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Abogado del Estado, desde la perspectiva de las entidades de crédito afectadas por la medida, cabe esperar que se genere una mayor incertidumbre por deterioro del valor de las carteras de activos. Además, una cesión temporal forzosa del uso de las viviendas obtenidas en garantía de créditos hipotecarios reduce la eficacia de dicha garantía para enjugar las pérdidas derivadas del impago del prestatario, con el efecto inmediato de la reducción en el valor de la deuda que podría recuperarse (efecto que dependería del importe a recibir por el sujeto propietario,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entiende el Abogado del Estado que las medidas podrían también tener un impacto sobre las emisiones de cédulas hipotecarias y otros valores garantizados por préstamos hipotecarios, debido al deterioro de la calidad de la garantía subyacente que dificultará la capacidad de financiación de las entidades de crédito; en concreto cabe esperar un descenso de la cotización de los títulos, un incremento de los costes de financiación de las entidades junto con un aumento de dificultades para refinanciar los títulos a medida que vayan venciendo.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aplicación de la norma podría también generar mayores costes para las entidades, en caso de incumplimiento o demora de la obligación de poner a disposición de la administración las viviendas en los supuestos previstos en la norma, como consecuencia del régimen sancionador establecido, lo que, en su caso, afectaría a la evolución de los márgenes y los resultados de las entidades. Según pone de relieve, todo lo anteriormente expuesto tiene indudablemente un efecto directo sobre la cartera actual de cédulas hipotecarias, que constituye una de las fuentes más importante de financiación de préstamos hipotecarios de las entidades. Dado el menor valor de la garantía, los inversores exigirán un mayor volumen de préstamos que respalde las cédulas emitidas.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examina el escrito del Abogado del Estado los efectos del artículo 20 de la Ley impugnada. El artículo 20 de la Ley, al igual que el artículo 9 del Decreto-ley 3/2015, al ordenar la suspensión de los lanzamientos en procesos judiciales o extrajudiciales de ejecución hipotecaria de personas en situación de especial vulnerabilidad, cuando su vivienda habitual se adjudique al acreedor o a un tercero por él propuesto, hasta que se ofrezca una alternativa habitacional por parte de la administración —a lo que la Ley impugnada ha incrementado su objeto a los desahucios por falta de pago de alquiler—, entra en conflicto evidente con las previsiones equivalentes de la Ley estatal y lo hace sin el contexto del conjunto de medidas adoptadas por el Estado, creando una gran inseguridad jurídica y afectando fundamentalmente a las entidades financieras, además de a los acreedores no institucionales.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Reitera el Abogado del Estado lo expresado por la STC 93/2015, de 14 de mayo, que resolvió el recurso de inconstitucionalidad interpuesto contra el Decreto-ley de la Junta de Andalucía 6/2013, de 9 de abril, de medidas para asegurar el cumplimiento de la función social de la propiedad de la vivienda, en relación con las expropiaciones de uso de la vivienda desocupada establecidas en dicha norma, medida que es equiparable a la suspensión de lanzamientos prevista en la Ley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la previsión se establece en el artículo 20, el resto de los apartados, en la medida en que son instrumentales para la ejecución de la suspensión de lanzamientos, deben mantenerse en suspenso por conexión. Lo mismo sucede respecto de la disposición transitoria segunda, que establece el momento de la entrada en vigor de esta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con referencia al artículo 24 de la Ley, alega el Abogado del Estado que, como hacía antes el artículo 12 del Decreto-ley 3/2015, dicho precepto obliga, en su primer apartado, a las entidades financieras, las sociedades inmobiliarias que estén bajo su control y a la SAREB, a poner a disposición de la Administración de Aragón las viviendas situadas en el territorio de esa Comunidad Autónoma que sean de su propiedad y que provengan de procedimientos de ejecución hipotecaria, de pago o dación en pago de deudas con garantía hipotecaria, siempre que el parque de viviendas resultantes de los convenios regulados en el artículo 23, así como las viviendas del sector público resulten insuficientes para dar adecuada respuesta a las necesidades de alojamiento de personas, unidades de convivencia en situación de vulnerabilidad y que tales viviendas se encuentren desocupadas. De acuerdo con el escrito del Abogado del Estado, la ejecución de esta medida deteriora el valor de los activos adjudicados, en tanto que los compradores, sabedores de que la entidad podrá perder las viviendas si no se ocupan, exigirán precios más competitivos. Ello actuará en perjuicio de la situación financiera de las entidades afectadas por la reestructuración, dado el menor valor de mercado relativo de dichas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cesión obligatoria de viviendas para su alquiler, como sucede en las otras normas autonómicas en las que se acuerda la expropiación temporal, supone que las entidades a las que alcanza el proceso de reestructuración inmobiliaria, no podrán llevar a cabo la venta de sus viviendas adjudicadas, por estar afectadas por esta medida, al tiempo que mantendrán su titularidad sobre las mismas. Ello implica que dichas viviendas deberán permanecer en el balance de las entidades.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afirma el Abogado del Estado, que resultan de aplicación íntegra las razones que llevaron al Tribunal al mantenimiento de la suspensión de los preceptos equivalentes del Decreto-ley 3/2015 en el ATC 18/2017, de 31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diligencia de ordenación de 2 de enero de 2018 se hace constar que solamente han presentado escrito de alegaciones sobre mantenimiento o levantamiento de la suspensión el Abogado del Estado y la representación legal de las Cortes de Aragón.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artículos 20 y 24, así como de la disposición transitoria segunda de la Ley 10/2016, de 1 de diciembre, de medidas de emergencia en relación con las prestaciones económicas del Sistema público de servicios sociales y con el acceso a la vivienda en la Comunidad Autónoma de Aragón, preceptos que se encuentran suspendidos en su aplicación como consecuencia de la invocación de los artículos 161.2 CE y 30 de la Ley Orgánica del Tribunal Constitucional (LOTC), al promoverse el recurso de inconstitucionalidad contra dichos preceptos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las Cortes de Aragón ha solicitado el levantamiento anticipado de la suspensión, conforme ha quedado expresado en los antecedentes, mientras que el Abogado del Estado se opone a esta pretensión e interesa que se mantenga la suspensión, con una argumentación que, en relación a algunos de los preceptos, es sustancialmente coincidente con la expuesta en los incidentes cautelares que fueron resueltos por este Tribunal, con el mantenimiento de la suspensión de los preceptos impugnados de las leyes autonómicas correspondientes, en los AATC 69/2014, de 10 de marzo (en el recurso contra diversos preceptos de la Ley 24/2013, de 2 de julio, de Navarra, de medidas urgentes para garantizar el derecho a la vivienda); 115/2014, de 8 de abril (en el recurso contra diversos preceptos de la Ley 4/2013, de 1 de octubre, de la Comunidad Autónoma de Andalucía, de medidas para asegurar el cumplimiento de la función social de la vivienda); 135/2015, de 21 de julio (en el recurso contra diversos preceptos de la Ley 2/2014, de 20 de junio, de modificación de la Ley 2/2003, de 30 de enero, de vivienda de Canarias y de medidas para garantizar el derecho a la vivienda); 144/2016, de 19 de julio (en recurso contra diversos preceptos de la Ley del Parlamento Vasco 3/2015, de 18 de junio, de vivienda); y 160/2016, de 20 de septiembre (en el recurso de inconstitucionalidad interpuesto contra determinados preceptos de la Ley del Parlamento de Cataluña 24/2015, de 29 de julio, de medidas urgentes para afrontar la emergencia en el ámbito de la vivienda y la pobreza energética). Y sobre todo en el ATC 18/2017, de 31 de enero en el recurso contra diversos preceptos del Decreto-ley del Gobierno de Aragón 3/2015, de 15 de diciembre, de medidas urgentes en materia de prestaciones económicas de carácter social, pobreza energética y acceso a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el presente tipo de incidente de suspensión existe una consolidada doctrina constitucional, conforme a la cual la suspensión de la disposición o acto objeto de un conflicto es una medida cautelar dirigida a prevenir las repercusiones perjudiciales que fueran consecuencia de la ejecución de aquellas decisiones durante la tramitación del proceso, por poderse generar situaciones de imposible o difícil reparación para los intereses comprometidos. Es preciso ponderar, de un lado, los intereses en presencia, tanto el general y público como el particular y privado, de terceras personas afectadas, y, de otro, los perjuicios de imposible o difícil reparación que la medida, según su sentido, pudiera deparar.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de acuerdo con nuestra doctrina, esa valoración debe efectuarse mediante el estricto examen de las situaciones de hecho creadas por los preceptos discutidos y al margen de la viabilidad de las pretensiones que en la demanda se formulan, pues la interpretación de las reglas de deslinde competencial que al caso hagan debe, obviamente, quedar diferida a la sentencia que resuelva la controversia competencial. Por último, hemos destacado que no basta para decidir la suspensión la mera invocación de aquellos perjuicios, sino que es preciso demostrar o, al menos, razonar consistentemente su procedencia y la imposible o difícil reparación de los mismos, ya que debe partirse, en principio, de la existencia de una presunción de constitucionalidad en favor de las normas o actos objeto del conflicto (por todos AATC 100/2002, de 5 de junio, FJ 2; 355/2007, de 24 de julio, FJ 2; 225/2009, de 10 de diciembre, FJ 2; 44/2011, de 12 de abril, FJ 2; 86/2012, de 8 de mayo, FJ 2; 122/2015, de 7 de julio, FJ 2, y 18/2017, de 31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abordar el examen de las alegaciones formuladas por el Abogado del Estado a favor de mantener la suspensión de la vigencia y aplicación de los preceptos recurridos de la Ley 10/2016, de 1 de diciembre, de medidas de emergencia en relación con las prestaciones económicas del sistema público de servicios sociales y con el acceso a la vivienda en la Comunidad Autónoma de Aragón, así como las de la representación procesal de las Cortes de Aragón en pro del levantamiento de la misma, resulta conveniente hacer una sintética referencia al contenido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primero del artículo 20 de la Ley 10/2016, de 1 de diciembre, declara la suspensión de los lanzamientos en procesos judiciales o extrajudiciales de ejecución hipotecaria en los que quede afectada una vivienda habitual de persona o unidad de convivencia de buena fe, que se encuentren en supuestos de especial vulnerabilidad.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apartado segundo del artículo 20 de la Ley 10/2016, declara la suspensión de los lanzamientos en procesos judiciales o extrajudiciales de desahucio por impago de alquiler cuando, encontrándose la persona o unidad de convivencia en el supuesto del apartado anterior, el sujeto que ha iniciado el citado proceso de lanzamiento cumpla como condición ser gran propietario de viviendas, conforme a lo regulado en esta Ley, o ser persona jurídica que hubiera adquirido esa vivienda después del 30 de abril de 2008 a causa de ejecución hipotecaria, acuerdo de compensación de deudas, o de dación en pago, o de compraventas que tengan como causa la imposibilidad de restituir el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transitoria segunda de la Ley 10/2016, dispone que la suspensión de los lanzamientos de su vivienda habitual de personas o unidades de convivencia en situación de especial vulnerabilidad prevista en el artículo 20 será de aplicación en los procesos judiciales o extrajudiciales de ejecución hipotecaria iniciados a la entrada en vigor de la Ley, siempre que en dicha fecha no se hubiere ejecutado el lanzamiento.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24 de la Ley 10/2016, dispone que “las entidades financieras, las sociedades inmobiliarias bajo su control, la Sociedad de Gestión de Activos Procedentes de la Reestructuración Bancaria, S.A., y aquellos que se definen en esta ley como grandes propietarios de viviendas, deberán poner a disposición de la Administración de la Comunidad Autónoma de Aragón las viviendas, situadas en el territorio de Aragón, que sean de su propiedad y, en el caso de las de las entidades financieras, las sociedades inmobiliarias bajo su control o la Sociedad de Gestión de Activos Procedentes de la Reestructuración Bancaria, S.A., provengan de procedimiento de ejecución hipotecaria, de pago o dación en pago de deudas con garantía hipotecaria, cuando el parque de viviendas resultante de los convenios regulados… así como de las medidas de promoción… y las viviendas del sector público sean insuficientes para dar adecuada respuesta a las necesidades de alojamiento de personas o unidades de convivencia en situación de vulnerabilidad, y aquellas viviendas se encuentren desocupadas…”. El órgano competente designará a los destinatarios de dichas viviendas y la entidad titular de la vivienda estará obligada a otorgar título suficiente para el uso, bajo la fórmula preferente de arrendamiento o, excepcionalmente, otras que resulten admisibles en derecho, garantizando la correspondiente contraprestación. En caso de incumplimiento o demora por parte de la entidad titular de la vivienda, de las obligaciones de cesión previstas, se contempla la posibilidad de imposición de multas coercitivas.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los preceptos impugnados es muy similar, aunque no coincida exactamente, con el de otras leyes autonómicas en materia de vivienda que han sido impugnadas ante este Tribunal, respecto de las que han recaído los AATC 69/2014, 115/2014, 135/2015, 144/2016, y 160/2016. Es, asimismo, análogo al contenido de los preceptos impugnados en el recurso de inconstitucionalidad 4952-2016, en el que se controvierte la constitucionalidad de determinados preceptos contenidos en el Decreto-ley del Gobierno de Aragón 3/2015, de 15 de diciembre, de medidas urgentes en materia de prestaciones económicas de carácter social, pobreza energética y acceso a la vivienda, que ha sido sustituido por la Ley impugnada en el presente proceso y respecto del que ha recaído el ATC 18/2017, de 31 de enero. La norma aragonesa comparte con la normativa referida de la misma Comunidad Autónoma —así como con la normativa de otras Comunidades— la previsión de medidas de suspensión de lanzamientos en determinadas circunstancias, así como la cesión forzosa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daños y perjuicios de imposible o difícil reparación invocados en este caso por el Abogado del Estado son los mismos que se pusieron de manifiesto y se valoraron por este Tribunal en los referidos AATC 69/2014, 115/2014, 32/2015, 135/2015, 144/2016 y, sobre todo, 18/2017, por lo que el resultado de nuestra ponderación debe ser el mismo que entonces, y en consecuencia, debe mantenerse la suspensión de los artículos 20, 24 y disposición transitoria segunda de la Ley 10/2016, de 1 de diciembre, de medidas de emergencia en relación con las prestaciones económicas del sistema público de servicios sociales y con el acceso a la vivienda en la Comunidad Autónoma de Aragón, por las razones expuestas en los Autos de este Tribunal citados, que son, de forma sucinta, y proyectadas al presente caso,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Existe un perjuicio cierto para el interés general, que subyace en el buen funcionamiento y estabilidad del sistema financiero en su conjunto; en la medida en que los preceptos impugnados inciden, aunque en términos cuantitativamente reducidos, en el sistema financiero en su conjunto, generan una desconfianza en el sistema crediticio globalmente considerado, ponen en riesgo la estabilidad del sistema financiero, producen un menoscabo en la reestructuración bancaria apoyada con dinero público y en el cumplimiento por España de sus compromisos internacionales. Se advierte, también, del efecto acumulativo de dichos perjuicios, al sumarse a lo previsto por las otras leyes autonómicas en materia de vivienda anteriormente mencionadas que han sido impugnadas también por el Presidente del Gobierno (AATC 69/2014, FFJJ 5, 6 y 7; 115/2014, FJ 5; 135/2015, FJ 3; 144/2016, FJ 5, y 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perjuicios para los intereses públicos se producen, según los informes del Banco de España y del Ministerio de Economía y Competitividad que han sido aportados por la Abogacía del Estado, “en aplicación del conjunto de medidas contenidas en los preceptos impugnados y no como consecuencia de cada una de ellas por separado, lo que determina la improcedencia a estos efectos de un examen individualizado de los mismos por su inescindible conexión y repercusión en el sistema financiero en su conjunto” (AATC 69/2014, FJ 7, 144/2016, FJ 5, y 18/2017, FJ 4). Como ya recordamos en el ATC 18/2017, FJ 4, desde la óptica que nos ocupa, poco importa que el programa de asistencia financiera a España, acordado por el Eurogrupo el 9 de julio de 2012 (memorando de entendimiento sobre condiciones de política sectorial financiera firmado el 20 de julio de 2012) con una duración de 18 meses, haya llegado a su fin de un modo satisfactorio. Las condiciones impuestas, lejos de estar consumadas, siguen vigentes y desplegando sus efectos, que han de sujetarse a los compromisos asumidos por España dentro de la Unión Europea, en particular en lo relativo a las ayudas de Estado. En el marco de esta supervisión, las autoridades europeas competentes ya han examinado medidas legislativas autonómicas similares a las contenidas en la Ley 10/2016, de 1 de diciembre; expresan su preocupación en cuanto que dichas medidas han generado incertidumbres legales y económicas sobre los bancos españoles, con posibles efectos negativos sobre la estabilidad del sistema financiero español en su conjunto, tanto de forma directa como indirecta. En particular, han destacado el potencial impacto negativo de las iniciativas autonómicas de protección de los deudores hipotecarios para las actividades de la Sociedad de gestión de activos procedentes de la reestructuración bancaria. Esos argumentos de las autoridades europeas son compartidos, en el momento presente y a pesar de la mejora del contexto financiero, por el Banco de España, como se refleja en el documento adjunto que aporta, junto a su escrito de alegaciones,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se produciría un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(AATC 69/2014, FJ 8; 135/2015, FJ 3; 144/2016, FJ 5, y 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 tenerse en cuenta que, como bien se recuerda en el ATC 18/2017, FJ 4, recogiendo la alusión realizada en la STC 93/2015, de 14 de mayo, “el Estado ha dictado una normativa en la que, incidiendo de un modo limitado en el sistema de ejecución hipotecaria, atiende a la situación de quienes, por habitar viviendas constituidas como colateral de un préstamo que ha quedado impagado, están en riesgo de perderla. Adoptó al efecto el Real Decreto-ley 27/2012, de 15 de noviembre, que luego se ha convertido, en virtud de la tramitación parlamentaria como proyecto de ley, en la Ley 1/2013, de 14 de mayo, de medidas para reforzar la protección a los deudores hipotecarios, reestructuración de deuda y alquiler social; ha sido modificada parcialmente por el artículo 3 del Real Decreto-ley 1/2015, de 27 de febrero, de mecanismo de segunda oportunidad, reducción de carga financiera y otras medidas de orden social”, posteriormente convertido en la Ley 25/2015, de 28 de julio, “estas previsiones tienen una conexión relevante con el objetivo de normalizar los mercados hipotecarios y con ello asentar el funcionamiento del sistema financiero” y con las mismas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(STC 93/2015,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perjuicios derivados de la suspensión y consistentes en el menoscabo del interés público al que responde la norma autonómica, esto es, la garantía del derecho a la vivienda y el interés privado de los colectivos más vulnerables que se verían beneficiados, resultan notoriamente reducidos, porque el Estado también ha dispuesto normas que atienden a estos mismos intereses (AATC 69/2014, FJ 9; 115/2014, FJ 5; 32/2015, FJ 6; 135/2015, FJ 3; 144/2016, FJ 5, y 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el caso, como se recuerda en los AATC 69/2014, FJ 9, y 18/2017, FJ 4, del ya citado Real Decreto-ley 27/2012, de 15 de noviembre, de medidas urgentes para reforzar la protección a los deudores hipotecarios (derogado tras ser tramitado como ley por la igualmente citada Ley 1/2013, de 14 de mayo, de medidas para reforzar la protección a los deudores hipotecarios, reestructuración de deuda y alquiler social), en el que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disposiciones reseñadas cabría añadir otras de no menor relevancia, como el Real Decreto-ley 6/2012, de 9 de marzo, de medidas urgentes de protección de deudores hipotecarios sin recursos y el plan estatal de fomento del alquiler de viviendas, la rehabilitación edificatoria, la regeneración y renovación urbanas 2013-2016, aprobado por Real Decreto 233/2013, de 5 de abril. El Estado ha aprobado, también, el Real Decreto-ley 1/2015, de 27 de febrero, del mecanismo de segunda oportunidad, reducción de carga financiera y otras medidas de orden social, luego convertido en la Ley 25/2015, de 28 de julio, que contiene medidas de diferente naturaleza, encaminadas tanto a la protección de aquellos deudores de un crédito o préstamo garantizado con hipoteca sobre su vivienda habitual, como a ampliar la protección de colectivos especialmente vulnerables. Entre esas medidas cabe destacar la de segunda oportunidad en el ámbito concursal para deudores de buena fe con cargas, que incluye, por primera vez, a las personas físicas; la suspensión de las ejecuciones durante el plazo de negociaciones;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representante de las Cortes de Aragón que la normativa impugnada tiene una novedad sustantiva respecto de las normativas examinadas hasta ahora, pues el apartado segundo del artículo 20 hace extensiva la suspensión de los lanzamientos en los procesos judiciales o extrajudiciales de desahucio por impago de alquiler cuando, encontrándose la persona o unidad de convivencia en idéntica situación de especial vulnerabilidad, el sujeto que ha iniciado el citado proceso de lanzamiento cumpla determinadas condiciones. Sin embargo, medidas dirigidas a evitar los desahucios de la vivienda habitual, incluyendo el supuesto de impago del alquiler, también fueron recogidas, por ejemplo, en la Ley catalana 24/2015, de medidas urgentes para afrontar la emergencia en el ámbito de la vivienda y la pobreza energética y este Tribunal resolvió mantener la suspensión de las mismas (ATC 160/2016, de 20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suma, procede reiterar la misma conclusión sentada en los ya referidos AATC 69/2014, FJ 10; 115/2014, FJ 5; 144/2016, FJ 5; 160/2016, FJ 4, y 18/2017, FJ 4, en cuanto que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artículos 20 y 24, así como de la disposición transitoria segunda de la Ley 10/2016, de 1 de diciembre, de medidas de emergencia en relación con las prestaciones económicas del Sistema público de servicios sociales y con el acceso a la vivienda en la Comunidad Autónoma de Aragón.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febrero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don Fernando Valdés Dal-Ré, don Juan Antonio Xiol Ríos y don Cándido Conde-Pumpido Tourón al Auto de 7 de febrero de 2018, dictado en el incidente de suspensión del recurso de inconstitucionalidad núm. 4403-2017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el máximo respeto a la opinión de la mayoría, expresamos nuestra discrepancia con la decisión de ratificar la suspensión de los artículos 20 y 24 y la disposición transitoria segunda de la Ley 10/2016, de 1 de diciembre, de medidas de emergencia en relación con las prestaciones económicas del Sistema público de servicios sociales y con el acceso a la vivienda en la Comunidad Autónoma de Aragón.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Del mismo modo que en el Auto se reitera la ponderación recogida en los AATC 69/2014, de 10 de marzo, 115/2014, de 8 de abril, 135/2015, de 21 de julio, 144/2016, de 19 de julio, 160/2016, de 20 de septiembre, y 18/2017, de 31 de enero, valdrá ahora con la remisión a las razones expuestas en los votos particulares formulados a dichas resoluciones.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especial, en el Voto particular al ATC 18/2017, relativo al Decreto-ley del Gobierno de Aragón 3/2015, de 15 de diciembre, antecedente inmediato de la Ley impugnada en este proceso, ya se destacó que aquella decisión “se fundamenta en la misma concepción sobre la afectación directa al mercado hipotecario y el consiguiente riesgo para la estabilidad del sistema financiero que se mantuvo hace tres años (ATC 69/2014, de 10 de marzo), sin tener en cuenta los cambios desde entonces y la reconocida mejoría de la situación macroeconómica en España”. Una crítica que resulta incluso más fundada un año más tarde, al mantenerse invariado el criterio de ponderación que, basado en elementos coyunturales, parece no tener en cuenta ni la evolución favorable de la situación macroeconómica financiera de los distintos sectores en España (informe de estabilidad financiera. Banco de España, noviembre 2017) ni los resultados actuales de la Sociedad de gestión de activos procedentes de la reestructuración bancaria (informe de actividad, primer semestre 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Reiteramos por tanto que el prolongado impacto de estas resoluciones sobre las medidas autonómicas relativas a la suspensión de lanzamientos o las viviendas desocupadas constituye una concepción altamente perturbadora para el ejercicio de la competencia autonómica exclusiva en materia de vivienda. Y, adicionalmente, para el efectivo disfrute por los afectados de los derechos instituidos en las normas autonómicas suspendidas, con los serios perjuicios, ahora sí, para la vigencia del Estado social y su plasmación en el derecho a disfrutar de una vivienda digna y adecuada reconocido en el artículo 47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emitimos nuestro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ocho de febrero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