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julio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1989-2018, promovido por doña Paloma Santiesteban García contra providencias de la Sección Primera de la Sala de lo Contencioso­ Administrativo del Tribunal Supremo en el recurso de casación núm. 4089-2017 contra Sentencia de la Sección Tercera de la Sala de lo Contencioso-Administrativo del Tribunal Superior de Justicia de Andalucía con sede en Sevilla, en recurso de apelación núm. 41-2017.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16 de julio de 2018, la Magistrada doña María Luisa Balaguer Callejón comunicó, a los efectos oportunos, que se abstenía de intervenir en la deliberación y votación del indicado recurso de amparo, al haber participado, en su anterior condición de Consejera del Consejo Consultivo de Andalucía, en la adopción del dictamen núm. 208/2015, de 25 de marzo, solicitado por la universidad de Huelva sobre revisión de oficio de contrato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se estima justificada la causa de abstención formulada, puesto que la mencionada magistrada intervino, en calidad de Consejera del Consejo Consultivo de Andalucía, en la adopción del dictamen emitido por dicho órgano con carácter previo a la interposición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amparo núm. 1989-2018,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