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abril de 2018 tuvo entrada en el registro general de este Tribunal un oficio del Juzgado de lo Penal núm. 1 de Toledo por el que se remite testimonio de las actuaciones formalizadas en el procedimiento abreviado 130-2014, y del Auto de fecha 1 de marzo de 2018 por el que el Magistrado Juez de lo Penal acuerda plantear cuestión de inconstitucionalidad respecto del inciso segundo del párrafo segundo del artículo 384 del Código penal (en adelante,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29 de agosto de 2010 agentes de policía local detectaron que el conductor de un automóvil lo hacía con síntomas de haber consumido bebidas alcohólicas y sin haber obtenido nunca permiso de conducción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recibido el atestado, el Juzgado de Instrucción núm. 2 de Orgaz (Toledo), incoó diligencias previas núm. 1201-2010, acordando al tiempo la práctica de las diligencias de investigación que consideró necesarias para esclarecer la responsabilidad penal que pudiera derivarse de tal conducta.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26 de septiembre de 2013, a petición del Ministerio Fiscal, el Juez acordó la apertura del juicio oral tras haber formulado el Ministerio Fiscal escrito de acusación en el que imputaba al conductor la comisión de un delito contra la seguridad vial, previsto y penado en el artículo 379 CP —conducción bajo la ingesta de bebidas alcohólicas— y otro del artículo 384.2 CP, como consecuencia de haber sido sorprendido conduciendo sin haber obtenido nunca permiso para conducir vehículos a motor o ciclomotor. Se otorgó a la defensa un plazo de diez días para formular su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Las actuaciones fueron remitidas y recibidas por el Juzgado de lo Penal núm. 1 de Toledo que declaró pertinentes las pruebas propuestas y fijó la fecha de celebración del juicio oral, que se habría de celebrar el 29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11 de diciembre de 2017, una vez celebrado el juicio oral en el que el Ministerio Fiscal mantuvo la acusación antes expresada, el Juez de lo Penal dictó providencia en la que acordó dar traslado al Ministerio Fiscal y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consta que la defensa del acusado formulara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alegaciones el Ministerio Fiscal puso de relieve que, después de haber aplicado durante años —desde 2012— el precepto cuestionado en un determinado sentido, propugnando una solución absolutoria, el Juez plantea ahora la duda de constitucionalidad una vez que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 de marzo de 2018, el Juzgado de lo Penal núm. 1 de Toledo acordó plantear cuestión de inconstitucionalidad con respecto al inciso segundo del párrafo segundo del artículo 384 CP, por posible vulneración del principio de legalidad penal (art. 25 CE). Para el promotor de la cuestión, el precepto penal cuestionado puede vulnerar la obligación de taxatividad que deriva del principio de legalidad penal porque admite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artículo 65.5 k) del Real Decreto Legislativo 339/1990, por el que se aprobó el texto articulado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2018, la Sección Tercera de este Tribunal,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evacuó el trámite conferido mediante escrito registrado en este Tribunal el 10 de septiembre de 2018, solicitando la inadmisión de la presente cuestión de inconstitucionalidad por entender que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 resuelta por el ATC 67/2018 y las suscitadas con números 2795-2018 y 2796-2018 y solventadas con los AATC 80/2018 y 81/2018.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como acertadamente pone de manifiesto en su informe la Fiscal General del Estado. Esa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 nuestro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