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9 de enero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14 de junio de 2018, la Procuradora de los Tribunales doña Teresa Bujalance Calderón, en nombre y representación de don José Francisco Salas García, interpuso recurso de amparo que, según su encabezamiento, se dirigía contra la sentencia de la Sección Segunda de la Audiencia Provincial de Granada de fecha 27 de octubre de 2017 (rollo apelación núm. 170-2017) que resolvió el recurso de apelación interpuesto frente a la Sentencia de 13 de febrero de 2017, dictada por el Juzgado de lo Penal núm. 4 de Granada en el procedimiento abreviado núm. 90-2016.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señalaba que tras la inicial condena por delitos contra la hacienda pública por la sentencia de 13 de febrero de 2017, dictada por el Juzgado de lo Penal núm. 4 de Granada, la sentencia de la Sección Segunda de la Audiencia Provincial de Granada de fecha 27 de octubre de 2017, en grado de apelación, elevó de manera notable la pena impuesta. Anunciado recurso de casación, fue denegada su admisión por infracción de ley, tras lo cual la demandante interpuso recurso de queja, que fue desestimado. Indica también que “esta parte había interpuesto incluso aclaración de sentencia contra la dictada en apelación por la Audiencia Provincial y de nulidad por la falta de resolución de uno de los motivos del recurso de apelación”, acompañando a la demanda de amparo el escrito de aclaración y nulidad, y la resolución dictada por la Audiencia Provincial en fecha 5 de enero de 2018. El recurso de amparo se fundó en la infracción del derecho a un proceso con todas las garantías (art. 24.2 CE) ya que, recogiendo literalmente las palabras empleadas por la demanda, “en la primera sentencia se admitió un informe presentado por aduanas determinando la cuantía defraudada, que debió de ser inadmitido ya que se presentó fuera de plazo una vez ya realizados los escritos de acusación, los de las defensas y en el Juzgado que iba a enjuiciar y en cuanto a la de la Audiencia Provincial dictada en resolución de recursos de apelación interpuestos, porque se agravó la pena impuesta en la primera instancia, sin audiencia de las partes acusadas y se denegó la nulidad solicitada por esta parte por falta de resolución de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termina suplicando que se dicte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“Sentencia por la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Estimando los motivos de amparo, declare la vulneración del derecho del recurrente a una tutela judicial efectiva y sin indefensión, y decrete la nulidad de las sentencias impugnadas, dejándolas sin valor ni efecto alguno por el hecho de haberse presentado prueba en sede del Juzgado de lo Penal, previa al escrito de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 o conjuntamente, estimando los motivos de amparo, declare la vulneración de garantías procesales y el derecho del recurrente a la presunción de inocencia, anulando la condena que le ha sido impuesta por las referidas sentencias, al haberse llevado a cabo sin pruebas de cargo suficientes para condenar y por el hecho de haberse presentado prueba en sede del Juzgado de lo Penal, previa al escrito de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 o conjuntamente, estimando los motivos de amparo, declare la vulneración de garantías procesales y la vulneración del derecho del recurrente a una tutela judicial efectiva y sin indefensión, por la variación fáctica y penológica de la sentencia de apelación dictada por la Audiencia Provincial de Granada, Sección Segunda, manteniendo los cinco años de pena por delito continuado acordada en la sentencia dictada por el Juzgado de lo Penal nº 4 de los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16 de noviembre de 2018 esta Sección acordó inadmitir a trámite el recurso de amparo con arreglo a lo previsto en el artículo 50.1.a) de la Ley Orgánica del Tribunal Constitucional (LOTC), en relación con su artículo 44.1.a), toda vez que el recurrente no ha agotado debidamente los medios de impugnación dentro de la vía judicial (no interposición del incidente de nulidad de actuaciones previsto en el artículo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7 de diciembre 2018, el Ministerio Fiscal interpuso recurso de súplica contra la referida providencia, alegando que de la demanda de amparo presentada se desprende que la misma no se dirige contra el auto de 25 de abril de 2018 dictado por la Sala de lo Penal del Tribunal Supremo desestimatorio del recurso de queja, supuesto en que concurriría el óbice apreciado, sino contra las sentencias dictadas, en primera instancia y en apelación, por el Juzgado de lo Penal núm. 4 de Granada y por la Sección Segunda de la Audiencia Provincial de Granada. De acuerdo con ello deberá determinarse si el intento de recurso de casación y el posterior recurso de queja “constituyó un agotamiento correcto o incorrecto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Ministerio Fiscal solicita se deje sin efecto la providencia de inadmisión,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previsto en el artículo 93.2 LOTC, por diligencia de ordenación de 10 de diciembre de 2018, se acordó dar traslado del recurso de súplica al demandante, para que en el plazo de tres días alegara lo que estimase pertinente. Su representación procesal presentó el 21 de diciembre pasado un escrito en el que muestra su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sido expuesto en los antecedentes, el presente recurso de amparo fue inadmitido a trámite mediante providencia del Tribunal de fecha 16 de noviembre de 2018, con arreglo a lo previsto en el artículo 50.1.a), en relación con su artículo 44.1.a) de la Ley Orgánica del Tribunal Constitucional (LOTC), toda vez que se consideró que el recurrente no había agotado debidamente los medios de impugnación dentro de la vía judicial al no haber interpuesto el incidente de nulidad de actuaciones previsto en el artículo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lectura de la demanda evidencia, como señala el Ministerio Fiscal, que el presente recurso de amparo no se dirige contra el auto dictado en fecha 25 de abril de 2018 por la Sala de lo Penal del Tribunal Supremo que desestimó el recurso de queja formulado por la parte recurrente contra el que rechazó tener por preparado el recurso de casación, sino contra las sentencias que, en la instancia y en grado de apelación, condenaron al demandante por delitos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el recurso de amparo plantea una queja originariamente imputable a la Sentencia dictada por el Juzgado de lo Penal núm. 4 de Granada, el agotamiento de la vía judicial previa al recurso de amparo [art. 44.1 a) LOTC] habría tenido lugar mediante el recurso de apelación, de suerte que, respecto de este motivo, no resulta exigible el incidente de nulidad de actuaciones previsto en el artículo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16 de noviembre de 2018, dejando sin efecto la misma y quedando las actuaciones en estado de proveer sobre la admisión a trámite del recurso de amparo núm. 3382-2018.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