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4 de febrero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10 de enero de 2019, la Procuradora de los Tribunales doña Inmaculada Guzmán Altuna, en nombre y representación de don Shane Kenneth Looker, formuló demanda de amparo contra el acuerdo del Consejo de Ministros de 28 de diciembre de 2018, derivado del procedimiento de extradición 12-2016, por el que se acuerda entregar en extradición al Reino de Tailandia al demandante de amparo, de nacionalidad británica, para ser enjuiciado como autor de un delito de asesinato.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de amparo la vulneración del derecho fundamental a la vida y a no ser sometido a torturas o a penas inhumanas o degradantes (art. 15 CE), aduciendo fundamentalmente: (i) que el Estado requirente no ha proporcionado garantías suficientes de que no se le aplicará la pena de muerte, (ii) que existe un claro riesgo de que sea confinado en el llamado “corredor de la muerte”, con el consiguiente padecimiento psíquico y físico, incompatible con el derecho fundamental invocado, (iii) que tampoco se han proporcionado garantías suficientes de que, en caso de ser condenado a una pena de prisión permanente, existirá algún tipo de revisión periódica que le permita albergar la expectativa real de llegar a ser puesto en libertad y (iv) que las condiciones de privación de libertad en el Estado requirente son infrahumanas. También se alega en la demanda la vulneración del derecho a un juicio justo (art. 24.2 CE) porque, estando vigente en el Estado requirente la ley marcial, no hay posibilidad alguna de acceder a una instancia superior para revisar la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como medida cautelar la suspensión de la ejecución de la autorización de extradición, por producir un perjuicio irreparable e irreversible, que haría perder al recurso de amparo su finalidad si se procede a la entrega del recurrente a las autoridades que interesan la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fecha 16 de enero de 2019, la Sección Cuarta de la Sala Segunda del Tribunal Constitucional admitió a trámite el recurso de amparo por apreciar que “concurre en el mismo una especial trascendencia constitucional (art. 50.1 LOTC), porque el recurso plantea un problema o afecta a una faceta de un derecho fundamental sobre el que no hay doctrina de este Tribunal [STC 155/2009, FJ 2 a)]”. En dicha resolución se acuerda, asimismo, la formación de pieza separada para la sustanciación del incidente relativo a la medida cautelar de suspensión interesada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esa misma fecha, la Sección Cuarta de la Sala Segunda acordó la formación de la oportuna pieza separada para la tramitación del incidente sobre la suspensión solicitada, concediendo, de conformidad con el artículo 56 LOTC, un plazo común de tres días al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23 de enero de 2019, el Ministerio Fiscal presentó su escrito de alegaciones en el que considera que procede “otorgar la medida cautelar de suspensión de la ejecución del acto en tanto se tramita el presente recurso de amparo”. Con cita de varias resoluciones de este Tribunal, entiende el Fiscal que, en materia de extradición, el Tribunal Constitucional viene apreciando que es “evidente” la “dificultad de reparación” del perjuicio que entraña la materialización de la entrega al Estado requirente, siendo, a su juicio, el supuesto de hecho planteado en la demanda de amparo “idéntico a todos los antecedentes que se citan en materia de extradición”, por lo que el Tribunal debería sujetarse a la pauta por la que se viene rigiendo en ellos, accediendo a la suspensión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28 de enero de 2019, la secretaría de Justicia de la Sección Cuarta hizo constar que el plazo de tres días concedido en el incidente cautelar había expirado sin que el demandante de amparo hubiera presentado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en la demanda de amparo presentada el pasado día 10 de enero de 2019 se incluía, por otrosí, una petición de suspensión cautelar de los efectos del acuerdo del Consejo de Ministros de 28 de diciembre de 2018, al apreciar el recurrente una urgencia excepcional provocada por la inminente ejecución de la entrega extradicional al Reino de Tailandia, que, de producirse, ocasionaría un perjuicio imposible o de muy difícil reparación que haría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artículo 56.1 de nuestra Ley Orgánica reguladora, preceptúa que “la interposición del recurso de amparo no suspenderá los efectos del acto o sentencia impugnados”. Y en el apartado 2, que “ello no obstante,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Tal como considera el Ministerio Fiscal en su escrito de alegaciones, procede otorgar la suspensión cautelar interesada. Como ya ha puesto de manifiesto este Tribunal,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 (ATC 218/2012,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razonado hay que añadir que no se aprecia que la suspensión pueda originar una perturbación grave de los intereses generales ni de los derechos fundamentales o libertades públicas de un tercero (por todos, ATC 218/2012,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lo dicho, procede acordar la suspensión cautelar del acuerdo del Consejo de Ministros impugnado, que se circunscribe única y exclusivamente a la entrega en extradición, con la advertencia de que la suspensión cautelar acordada lo es en todo caso sin perjuicio de que el órgano judicial competente adopte las medidas oportunas para que el recurrente permanezca a disposición de la Justicia (por todos AATC 2/2002, de 14 de enero, FJ 2; 218/2012, de 26 de noviembre, FJ 2, y 91/2016, de 27 de abril,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 Cuarta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suspensión cautelar del acuerdo del Consejo de Ministros de 28 de diciembre de 2018 por el que se dispone la entrega extradicional al Reino de Tailandia del recurrente de amparo, don Shane Kenneth Looker.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febrero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