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14 de marzo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 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3903-2016, interpuesto por el Gobierno de Canarias contra los arts. 48.8 y 50.2 d) y las disposiciones adicionales séptima y octava de la Ley 40/2015, de 1 de octubre, de régimen jurídico del sector público. Ha comparecido y formulado alegaciones el abogado del Estado.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julio de 2016, el Gobierno de Canarias interpone recurso de inconstitucionalidad contra los arts. 48.8 y 50.2 d) y las disposiciones adicionales séptima y octava de la Ley 40/2015, de 1 de octubre, de régimen jurídico del sector público por infringir los principios de lealtad institucional, interdicción de la arbitrariedad (art. 9.3 CE) y estabilidad presupuestaria (art. 135 CE), incumplir la reserva de ley orgánica (art. 157.3 CE) y desbordar las bases del régimen jurídico de las administraciones públicas (art. 149.1.18 CE) con invasión de las competencias sobre régimen jurídico de las administraciones públicas y autoorganización de las comunidades autónomas (arts. 31.4 y 32, apartados 6 y 8, del Estatuto de Autonomía de Canarias, en adelante EACan) y vulneración de su autonomía política (arts. 2 y 137 CE) y financiera (art. 156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impugna el art. 48.8 en conexión con la disposición adicional séptima. El primero dispone: “Los convenios se perfeccionan por la prestación del consentimiento de las partes. Los convenios suscritos por la Administración General del Estado o alguno de sus organismos públicos o entidades de derecho público vinculados o dependientes resultarán eficaces una vez inscritos en el Registro Electrónico estatal de Órganos e Instrumentos de Cooperación del sector público estatal, al que se refiere la disposición adicional séptima y publicados en el ‘Boletín Oficial del Estado’. Previamente y con carácter facultativo, se podrán publicar en el ‘Boletín Oficial’ de la Comunidad Autónoma o de la provincia, que corresponda a la otra Administración firmante”. La disposición adicional séptima regula el “Registro Electrónico estatal de Órganos e Instrumentos de Cooperación”, dependiente de la Secretaría de Estado de Administraciones Públicas. Incluye los órganos de cooperación en los que participan la administración general del Estado y sus organismos públicos o entidades vinculados o dependientes, así como los convenios celebrados con el resto de administraciones públicas (apartado 1). La “suscripción, extinción, prórroga o modificación de cualquier convenio celebrado por la Administración General del Estado o alguno de sus organismos públicos o entidades vinculados o dependientes deberá ser comunicada por el órgano de esta que lo haya suscrito, en el plazo de quince días desde que ocurra el hecho inscribible”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preceptos vulnerarían la lealtad institucional, entendida como exigencia incluida en el principio de seguridad jurídica (art. 9.3 CE), así como la interdicción de la arbitrariedad (art. 9.3 CE), al hacer depender la eficacia de los convenios del arbitrio de una de las partes, que podrá condicionar, retrasar o suspender la inscripción. El carácter constitutivo de la inscripción en un registro llevado por una de las partes no se compadece con el carácter bilateral y paritario de los convenios; incurre en desigualdad y arbitrariedad que proscribe el art. 9.3 CE. Comportaría igualmente una extralimitación de la competencia básica estatal del art. 149.1.18 CE. Tampoco en este caso el precepto controvertido habría establecido un mínimo común aplicable a todas las administraciones públicas. Regula solo la eficacia de los instrumentos convencionales en los que sea parte el Estado. Vulneraría la potestad de autoorganización de la Comunidad Autónoma de Canarias (arts. 31.4 y 32, apartados 6 y 8, EACan). La letrada autonómica subraya a este respecto que el precepto no establece un plazo obligatorio para la inscripción como acto debido. Considera, no obstante, que dejaría de incurrir en las vulneraciones denunciadas si fuera interpretado en el sentido de que son actos debidos, sin posibilidad de rechazo, retraso, dilación u observación, la inscripción y el envío al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50.2 d) dispone: “Cuando los convenios plurianuales suscritos entre Administraciones Públicas incluyan aportaciones de fondos por parte del Estado para financiar actuaciones a ejecutar exclusivamente por parte de otra Administración Pública y el Estado asuma, en el ámbito de sus competencias, los compromisos frente a terceros, la aportación del Estado de anualidades futuras estará condicionada a la existencia de crédito en los correspondientes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Gobierno de Canarias, los convenios indicados vinculan, naturalmente, a la administración autonómica o local que los haya suscrito, pero, por virtud de la previsión impugnada, dejan de obligar al Estado. La primera debe realizar la actividad de su competencia a la que se refiere el convenio, pero el Estado no ha de aportar la ayuda financiera comprometida si decide no incluir las necesarias partidas presupuestarias en las correspondientes leyes de presupuestos. La previsión controvertida abandonaría al arbitrio de una de las partes el cumplimiento de los compromisos financieros de carácter plurianual a la vez que dejaría intactos los contraídos por la administración autonómica. Legitimaría pues la frustración del convenio en cuanto a la aportación estatal con el consiguiente descalabro económico para la comunidad autónoma. La administración estatal pasaría a ocupar una posición de jerarquía respecto de las comunidades autónomas en el marco de un negocio que se supone que es paritario.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interpretado, el art. 50.2 d) incurriría en arbitrariedad (art. 9.3 CE), por imponer un desequilibrio obligacional carente de toda explicación que genera graves consecuencias para las administraciones que celebren convenios con el Estado. Vulneraría igualmente el “principio de lealtad institucional, contenido en el art. 9.3 CE como parte del principio de seguridad jurídica”, que demanda reglas de juego objetivas y claras para los convenios administrativos. También los principios de suficiencia y autonomía financiera (art. 156.1 CE) al privar a esas administraciones de recursos necesarios comprometidos de común acuerdo. En conexión con lo anterior, vulneraría el principio de estabilidad presupuestaria (art. 135 CE); al rechazar el carácter vinculante del compromiso financiero contraído por el Estado, el precepto propiciaría que las comunidades autónomas incumplan los objetivos de estabilidad presupuestaria. Al afectar a las relaciones financieras del Estado con las comunidades autónomas, el art. 50.2 d) infringiría asimismo la reserva de ley orgánica. Supondría, en fin, una extralimitación de la competencia básica que corresponde al Estado ex art. 149.1.18 CE. El precepto no establece una regulación uniforme para todas las administraciones públicas de los efectos de todos los convenios o del alcance de las aportaciones de ambas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adicional octava lleva el rótulo “Adaptación de los convenios vigentes suscritos por cualquier Administración Pública e inscripción de organismos y entidades en el Inventario de Entidades del Sector Público Estatal, Autonómico y Local”. Conforme a su apartado primero: “Todos los convenios vigentes suscritos por cualquier Administración Pública o cualquiera de sus organismos o entidades vinculados o dependientes deberán adaptarse a lo aquí previsto en el plazo de tres años a contar desde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vendría a suprimir los instrumentos de cooperación que no hayan sido adaptados a la regulación estatal en el plazo trienal indicado. El mantenimiento de los convenios, acuerdos y mecanismos de colaboración debería depender de la propia voluntad de los entes territoriales que los han suscrito. El Estado carecería de título competencial para adoptar semejante regulación. Habría invadido la competencia de autoorganización (arts. 30.1 y 32.6 EACan) y la autonomía política (arts. 2 y 156 CE)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19 de julio de 2016, el Pleno del Tribunal Constitucional acordó admitir a trámite el presente recurso, dar traslado de la demanda y documentos presentados al Congreso de los Diputados, al Senado y al Gobierno, al objeto de que puedan personarse en el proceso y formular alegaciones, y ordenar la publicación de la incoación del recurso en el “Boletín Oficial del Estado”; publicación que se produjo en el núm. 184, de 1 de agosto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6 de septiembre de 2016, el presidente del Senado comunicó el acuerdo de la mesa de la cámara de personarse en el proceso ofreciendo su colaboración a los efectos del art. 88.1 de la Ley Orgánica del Tribunal Constitucional. Otro tanto hizo la presidenta del Congreso de los Diputados mediante escrito registrado el día 9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7 de septiembre de 2016, el abogado del Estado, en la representación que legalmente ostenta, compareció en el proceso y solicitó la ampliación en ocho días del plazo de quince establecido para formular alegaciones habida cuenta del número de asuntos que penden en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septiembre de 2016, el Pleno del Tribunal Constitucional acuerda tener por personado al abogado del Estado y conceder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el 3 de octubre de 2016 en el registro general de este Tribunal Constitucional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48.8 y la disposición adicional séptima no incurren en los vicios de inconstitucionalidad denunciados. La configuración de la inscripción en un determinado registro electrónico del Estado y la publicación en el “Boletín Oficial del Estado” como condiciones de eficacia del convenio administrativo (art. 48.8 de la Ley 40/2015) es una norma básica de ordenación. Las bases ex art. 149.1.18 CE pueden responder a intereses generales tales como el control del gasto público. La actividad convencional no es una actividad interna. Tiene una clara dimensión externa, sobre todo cuando afectan a los derechos de los ciudadanos, que habilita una regulación básica. Los convenios comprometen a menudo elevadas cantidades de gasto sin las garantías procedimentales de la contratación pública. Resulta problemática su dispersión, confusa vigencia, antiformalismo y alcance de compromiso. Por eso el legislador básico ha considerado indispensable la información unificada de los instrumentos convencionales de actuación de las administraciones públicas. El controvertido art. 48.8 no impide la celebración de convenios por parte de las administraciones no estatales ni determina su contenido obligacional ni siquiera impide la creación de registros equivalentes en los niveles local y autonómico o la publicación en otros diarios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demás elementos de la disposición adicional séptima son lógica consecuencia de la configuración básica relativa al control de la eficacia de los convenios, sin entrar a regular su contenido obligacional ni limitar las áreas sobre las que las comunidades autónomas y los entes locales pueden convenir con terceros: una norma de Derecho transitorio (apartado 5) o la consecuencia de la extinción del convenio si los órganos de dirección no se hubiesen reunido en cinco años, que es una lógica presunción de inactividad. En suma, el art. 48.8 y la disposición adicional séptima en modo alguno impiden a las comunidades autónomas el ejercicio de políticas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50.2 d) no incurre en las infracciones denunciadas. Regula un problema específico que puede plantearse cuando el Estado financia a través del convenio administrativo el desarrollo de tareas de su competencia por parte de otra administración. El Estado no realiza directamente la actividad, pero la sufraga y es responsable frente a terceros. En tal caso puede ocurrir que la administración (autonómica o local) obligada a ejecutar la actividad convenida incumpla este compromiso. El precepto controvertido abordaría esta eventualidad en consonancia con el principio de justicia conmutativa y reciprocidad: si tal administración incumple su obligación de realizar la actividad, la administración estatal no estará obligada a cumplir el compromiso de sufragarla.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50.2 d) no incurre en arbitrariedad. Responde a la justicia conmutativa, imponiendo el equilibrio de las prestaciones en el seno de una relación bilateral o multilateral paritaria. La condición de que haya partida suficiente autorizada en los presupuestos garantiza la seguridad jurídica, sin dañarla. Tampoco vulnera la autonomía financiera de las comunidades autónomas (art. 156.1 CE). El art. 156.1 CE no exige que el Estado realice las sucesivas aportaciones plurianuales convenidas en todo caso, aunque la contraparte no ejecute las prestaciones pactadas. Por la misma razón, el precepto impugnado no contraviene el principio de estabilidad presupuestaria (art. 135 CE). Al revés, sería el abono de cantidades sin contraprestación efectiva lo que podría comprometer esta exigencia constitucional. La previsión controvertida no infringe la reserva de ley orgánica. El art. 157.3 CE asocia esta tipología normativa al régimen jurídico general de los ingresos de las comunidades autónomas adoptado en desarrollo de la proclamación constitucional de la autonomía financiera de estas instancias territoriales (art. 156.1 CE). El principio de reserva de ley no abarca la específica regulación de cualquier consecuencia resultante o dependiente de las vicisitudes del convenio de colaboración. El convenio conlleva ocasionalmente recursos financieros e, incluso, la financiación estatal de actividades de las comunidades autónomas para la consecución de objetivos de interés general. Sin embargo, no es este su objetivo principal ni el ámbito preponderante de la regulación adoptada por el Estado como bases del régimen jurídico de las administraciones públicas (art. 149.1.18 CE). El convenio es, antes que nada, un instrumento que articula relaciones interadministrativas de cooperación. La regulación básica de los convenios de colaboración, entendidos como fórmula de gestión de los intereses públicos, no requiere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la disposición adicional octava incurre en la inconstitucionalidad denunciada. Resulta lógico y propio o específico de una regulación básica la previsión de un régimen de adaptación de los convenios existentes a la entrada en vigor de la nueva ley. Ciertamente, el legislador pudo optar por mantener sin variación el régimen anterior, desplegando la ley sus efectos solo en relación con los convenios que se suscriban con posterioridad. Pero ello es solo una de las opciones posibles sin que el hecho de no haberla escogido merezca en cuanto tal el reproche de inconstitucionalidad. El legislador, dentro del ámbito de lo básico, puede ejercer su libertad de ordenación en el sentido de establecer un régimen u otro de adaptación.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7. Mediante escrito registrado el 6 de febrero de 2018, la letrada de los servicios jurídicos del Gobierno de Canarias, en la representación que legalmente ostenta, solicita que se incorpore a los autos de este proceso la sentencia de la Sección Tercera de la Sala de lo Contencioso-Administrativo del Tribunal Supremo de 22 de diciembre de 2017, estimatoria del recurso de casación interpuesto por el Gobierno de Canarias respecto de un convenio de colaboración de carácter plurianual suscrito con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febrero de 2018, el Pleno del Tribunal Constitucional acuerda unir a las actuaciones el escrito presentado con la sentencia adjunta, así como dar traslado mediante copia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marzo de 2019,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de Canarias impugna los arts. 48.8 y 50.2 d) y las disposiciones adicionales séptima y octava de la Ley 40/2015, de 1 de octubre, de régimen jurídico del sector público por infringir los principios de lealtad institucional, interdicción de la arbitrariedad (art. 9.3 CE) y estabilidad presupuestaria (art. 135 CE), incumplir la reserva de ley orgánica (art. 157.3 CE) y desbordar las bases del régimen jurídico de las administraciones públicas (art. 149.1.18 CE) con invasión de las competencias sobre régimen jurídico de las administraciones públicas y autoorganización de las comunidades autónomas (arts. 31.4 y 32, apartados 6 y 8, del Estatuto de Autonomía de Canarias, en adelante EACan) y vulneración de su autonomía política (arts. 2 y 137 CE) y financiera (art. 156 CE). El abogado del Estado se opone al recurso, solicitando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forman parte del nuevo régimen jurídico de los convenios administrativos previsto en la Ley 40/2015 respecto del que este Tribunal ha tenido ya oportunidad de pronunciarse en la STC 132/2018, de 13 de diciembre. Para ahorrar reiteraciones innecesarias procede dar aquí por reproducidos los fundamentos jurídicos de esa sentencia relativos al alcance de la competencia estatal para aprobar las “bases del régimen jurídico de las administraciones públicas” (fundamentos jurídicos 3 y 4), así como a la presentación de la Ley 40/2015 y sus novedades en materia de convenios administrativos [fundamentos jurídicos 2 y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de Canarias impugna el art. 48.8 y la disposición adicional séptima de la Ley 40/2015.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nuevo régimen de los convenios administrativos incluido en el capítulo VI (arts. 47 a 53) de la Ley 40/2015 se contrae sustancialmente a la fijación de medidas relacionadas con la eficiencia del gasto público y la estabilidad presupuestaria en consonancia con las recomendaciones de la moción del Tribunal de Cuentas a las Cortes Generales sobre “la necesidad de establecer un marco legal para el empleo del convenio de colaboración por las administraciones públicas” (citada en el preámbulo de la ley como dictamen núm. 878, de 30 de noviembre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48.8 y la disposición adicional séptima de la Ley 40/2015 desarrollan algunas de estas medidas. El primero dispone: “Los convenios se perfeccionan por la prestación del consentimiento de las partes. Los convenios suscritos por la Administración General del Estado o alguno de sus organismos públicos o entidades de derecho público vinculados o dependientes resultarán eficaces una vez inscritos en el Registro Electrónico estatal de Órganos e Instrumentos de Cooperación del sector público estatal, al que se refiere la disposición adicional séptima y publicados en el ‘Boletín Oficial del Estado’. Previamente y con carácter facultativo, se podrán publicar en el ‘Boletín Oficial’ de la Comunidad Autónoma o de la provincia, que corresponda a la otra Administración firmante”. La disposición adicional séptima regula el registro electrónico estatal de órganos e instrumentos de cooperación, dependiente de la Secretaría de Estado de Administraciones Públicas. Incluye los órganos de cooperación en los que participan la administración general del Estado y sus organismos públicos o entidades vinculados o dependientes, así como los convenios celebrados con el resto de administraciones públicas (apartado 1). La suscripción, extinción, prórroga o modificación de cualquier convenio celebrado por la administración general del Estado o alguno de sus organismos públicos o entidades vinculados o dependientes deberá ser comunicada por el órgano de esta que lo haya suscrito, en el plazo de quince días desde que ocurra el hecho inscribible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Gobierno canario, estos preceptos vulnerarían los principios de lealtad institucional e interdicción de la arbitrariedad (art. 9.3 CE), al hacer depender la eficacia de los convenios del arbitrio de una de las partes, que podrá condicionar, retrasar o suspender la inscripción. El carácter constitutivo de la inscripción en un registro llevado por una de las partes no se compadece con el carácter bilateral y paritario de los convenios; incurriría en la desigualdad y arbitrariedad que proscribe el art. 9.3 CE. Comportaría igualmente una extralimitación de la competencia básica estatal del art. 149.1.18 CE, con vulneración de la potestad de autoorganización de la Comunidad Autónoma de Canarias (arts. 31.4 y 32, apartados 6 y 8, EACan). La letrada autonómica subraya a este respecto que el precepto no establece un plazo obligatorio para la inscripción como acto debido. Considera, no obstante, que dejaría de incurrir en las vulneraciones denunciadas si fuera interpretado en el sentido de que son actos debidos, sin posibilidad de rechazo, retraso, dilación u observación, la inscripción y el envío al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48.8 y la disposición adicional séptima de la Ley 40/2015 traen causa directa de una recomendación del Tribunal de Cuentas, basada en la constatación de la nula o escasa información estadística sobre los convenios de colaboración, singularmente los celebrados con particulares y entidades locales. Tal recomendación es la siguiente: “Que se complete y amplíe la información sobre los convenios mediante un sistema registral que dé cumplida información de los que se celebren con todas las entidades públicas y con entidades sujetas al derecho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cuenta con competencia para configurar la inscripción registral y la publicación en el “BOE” como condiciones de eficacia de los convenios que suscriba su administración general con otras instancias territoriales. El título de cobertura no puede ser, sin embargo, la competencia exclusiva del Estado para autoorganizarse. La previsión controvertida se refiere a convenios bilaterales de modo que “organiza”, no solo a la administración general del Estado, sino también a los entes territoriales que entran en negociaciones con ella. En consecuencia, al condicionar la eficacia del convenio a la inscripción registral y a la publicación en el “BOE”, el Estado ha impuesto una determinada regulación a las comunidades autónomas, que puede reputarse sin dificultad legislación básica del régimen jurídico de las administraciones públicas: “las bases del régimen jurídico de las administraciones públicas (art. 149.1.18 CE) pueden regular relaciones de las administraciones entre sí y con los ciudadanos, así como responder a fines de eficacia, eficiencia y estabilidad presupuestaria. El Estado tiene, por tanto, competencia para establecer una regulación general de convenios administrativos bajo su consideración como fuente muy relevante de gasto público” [STC 132/2018,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modo alguno puede decirse que las previsiones impugnadas carecen de explicación racional. La inscripción de los convenios administrativos suscritos por la administración general del Estado (o entidades vinculadas a ella) en el registro electrónico estatal de órganos e instrumentos de cooperación del sector público estatal y el envío al “BOE” responden con toda evidencia a las exigencias de trasparencia y eficacia de la actuación administrativa (art. 103.1 CE), eficiencia en el uso de los recursos públicos (art. 31.2 CE) y control del gasto público (art. 136 CE). La publicidad resultante facilita, en particular, el control por parte de los organismos de intervención de las administraciones públicas, el control directo de la actividad administrativa por parte de la ciudadanía y la configuración de las políticas públicas [en el mismo sentido, refiriéndose a otros mecanismos de publicidad: SSTC 138/2013, de 6 de junio, FJ 4, y 111/2016, de 9 de junio, FJ 12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sola consideración de los fines perseguidos justificaría un apartamiento concreto del criterio general de igualdad inspirador de la regulación del convenio administrativo (arts. 47 a 53 de la Ley 40/2015). En cualquier caso, tal apartamiento no se produce. No puede afirmarse que, al vincular la eficacia del convenio a la inscripción registral y a la publicación en el “BOE”, el legislador ha abandonado el cumplimiento a la voluntad de una de las partes. Tal como admite el propio Gobierno canario, la inscripción es un acto debido, resultado de una mera comprobación, que no coloca a las administraciones locales o autonómicas en una posición de inferioridad respecto 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procede desestimar la impugnación del art. 48.8 y la disposición adicional séptima de la Ley 40/2015.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de Canarias impugna el art. 50.2 d) de la Ley 40/2015.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50 de la Ley 40/2015 lleva el rótulo “Trámites preceptivos para la suscripción de convenios y sus efectos”. En coherencia con este enunciado, prevé trámites tales como la memoria justificativa del convenio, el informe del servicio jurídico de la administración general del Estado, otros informes exigidos por la normativa correspondiente, la autorización previa del Ministerio de hacienda y administraciones públicas y la remisión del convenio al Senado [apartados 1 y 2, letras a), b), c) y e)]. La controvertida letra d) regula algo distinto: las consecuencias de la ausencia de crédito para el cumplimiento de los “convenios plurianuales” por los que la administración general del Estado se compromete a “financiar actuaciones a ejecutar exclusivamente por parte de otra Administración Pública”, asumiendo “los compromisos frente a terceros”. Dispone que “la aportación del Estado de anualidades futuras estará condicionada a la existencia de crédito en los correspondientes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Gobierno de Canarias, los convenios indicados vinculan, naturalmente, a la administración autonómica o local que los haya suscrito, pero, por virtud del art. 50.2 d) de la Ley 40/2015, dejan de obligar al Estado. La primera debe realizar la actividad de su competencia a la que se refiere el convenio, pero el Estado no ha de aportar la ayuda financiera comprometida si decide no incluir las necesarias partidas presupuestarias en las correspondientes leyes de presupuestos. La previsión controvertida abandonaría al arbitrio de la administración estatal el cumplimiento de los compromisos financieros de carácter plurianual a la vez que dejaría intactos los contraídos por la administración autonómica. Legitimaría pues la frustración del convenio en cuanto a la aportación estatal, con el consiguiente descalabro económico para la comunidad autónoma. La administración estatal pasaría a ocupar una posición de jerarquía respecto de las comunidades autónomas en el marco de un negocio que se supone que es paritario.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interpretado, según el Gobierno canario, el art. 50.2 d) de la Ley 40/2015 incurriría en arbitrariedad (art. 9.3 CE), por imponer un desequilibrio obligacional carente de toda explicación que genera graves consecuencias para las administraciones que celebren convenios con el Estado. Vulneraría igualmente el “principio de lealtad institucional, contenido en el art. 9.3 CE como parte del principio de seguridad jurídica”, que demanda reglas de juego objetivas y claras para los convenios administrativos. También los principios de suficiencia y autonomía financiera (art. 156.1 CE), al privar a esas administraciones de recursos necesarios comprometidos de común acuerdo. En conexión con lo anterior, vulneraría el principio de estabilidad presupuestaria (art. 135 CE); al rechazar el carácter vinculante del compromiso financiero contraído por el Estado, el precepto propiciaría que las comunidades autónomas incumplan los objetivos de estabilidad presupuestaria. Al afectar a las relaciones financieras del Estado con las comunidades autónomas, el art. 50.2 d) infringiría asimismo la reserva de ley orgánica. Supondría, en fin, una extralimitación de la competencia básica que corresponde al Estado ex art. 149.1.18 CE; el precepto no establece una regulación uniforme para todas las administraciones públicas de los efectos de todos los convenios o del alcance de las aportaciones de ambas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50.2 d) de la Ley 40/2015 establece una regulación escueta y no excesivamente precisa sobre una cuestión compleja como consecuencia del “peculiar entrecruzamiento entre la legalidad administrativa, entendida como sometimiento pleno de la actuación administrativa a la ley y al Derecho (art. 103.1 CE), y la legalidad presupuestaria en el régimen jurídico de las obligaciones económicas” (STC 294/1994, de 7 de noviembre, FJ 3). Se contrae a disponer que “la aportación del Estado de anualidades futuras estará condicionada a la existencia de crédito en los correspondientes presupuestos”. A fin de comprender este enunciado normativo, presupuesto lógico del control de constitucionalidad que solicita el Gobierno canario, es preciso examinar brevemente el régimen general y presupuestario de estos convenios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convenios a los que se refiere el precepto son los denominados convenios “subvención” celebrados por la administración general del Estado (o una entidad vinculada a ella) con una administración autonómica o local. En su virtud, la primera se compromete a financiar con recursos propios tareas o competencias de la segunda. Se trata de un mecanismo de financiación condicionada, excepción al régimen ordinario de financiación de las comunidades autónomas, que, de acuerdo con el art. 156 CE y los arts. 1, 4.2 a), 15 y 16 de la Ley Orgánica de financiación de las comunidades autónomas (LOFCA), ha de articularse dentro de un sistema general para el conjunto de las comunidades autónomas mediante trasferencias de recursos no vinculados finalísticamente. Lo más “acorde y respetuoso con la autonomía política y financiera de las comunidades autónomas” es que los fondos necesarios para el desarrollo de sus competencias “aparezcan ya como trasferencias corrientes o de capital”, sin perjuicio de que es también posible que se territorialicen “por normas inmediatamente posteriores o por convenio ajustado a los principios constitucionales y reglas de distribución de competencias” (STC 13/1992, de 6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 134.2 CE y la Ley 47/2003, de 26 de noviembre, general presupuestaria, todo compromiso de gasto contraído por la administración general del Estado, incluido el derivado de los convenios “subvención”, ha de contar con la correspondiente habilitación presupuestaria: “No podrán adquirirse compromisos de gasto ni adquirirse obligaciones por cuantía superior al importe de los créditos autorizados en los estados de gastos, siendo nulos de pleno derecho los actos administrativos y las disposiciones generales con rango inferior a ley que incumplan esta limitación” (art. 46, segunda frase, de la Ley 47/2003).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Ley 47/2003 permite a la administración general del Estado comprometer gastos para ejercicios futuros y, por tanto, gastos que carecen aún de la preceptiva habilitación presupuestaria. A tal efecto, impone los requisitos siguientes: la ejecución del compromiso ha de comenzar durante el propio ejercicio con la correspondiente habilitación presupuestaria; los compromisos previstos para ejercicios futuros han de estar recogidos en los denominados “escenarios presupuestarios plurianuales”; el número de ejercicios a que pueden aplicarse los gastos no será superior a cuatro; y el gasto que se impute a cada uno de los ejercicios no podrá superar determinada cuantía (arts. 47 y 47 bis de la Ley 47/2003).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división de poderes y la autonomía parlamentaria (arts. 66 y 67 CE), las Cortes Generales no están obligadas a autorizar el crédito necesario para satisfacer estos compromisos plurianuales de gasto, por más que hayan sido contraídos válidamente con sujeción a la indicada serie de requisitos. A su vez, debido al principio de legalidad presupuestaria (arts. 66.2 y 134 CE), sin la oportuna autorización presupuestaria el Gobierno no podrá ejecutar tales compromisos. No por ello los compromisos plurianuales de gasto válidamente contraídos quedan desprovistos de todo contenido obligacional.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está obligado a incluir en los proyectos de ley de presupuestos generales del Estado correspondientes a cada ejercicio las partidas de gasto comprometidas (art. 134.2 CE; arts. 32, 33 y 37.1 de la Ley 47/2003). A su vez, si los presupuestos generales no las autorizasen, está obligado a la “reprogramación”, con el “consiguiente reajuste de anualidades”, siempre “que lo permitan las disponibilidades del crédito”, o a la “resolución del negocio siguiendo el procedimiento establecido en las correspondientes normas” con “las compensaciones que, en su caso procedan” [art. 47 bis, apartados 2 y 3 de la Ley 47/2003]. Correlativamente, la contraparte podrá exigir judicialmente la declaración del compromiso de gasto insatisfecho y que el Gobierno realice o promueva la correspondiente modificación presupuestaria para hacer efectivo el cumplimiento. A este respecto, el Tribunal Constitucional ha subrayado que “cuando en un litigio el condenado es el Estado bajo una u otra personalidad y la condena es de carácter pecuniario, el pago no puede hacerse sin dar cumplimiento a los requisitos exigidos por las normas legales que regulan las finanzas públicas” (STC 61/1984, de 16 de mayo, FJ 3). En estos casos, la resolución judicial no es “un título directamente ejecutable, equivalente a una orden de pago, desde el momento en que ha de encauzarse a través de un complejo procedimiento administrativo de ejecución del gasto que en más de un caso necesita una prolongación parlamentaria” (STC 206/1993, de 17 de junio, FJ 4). Bajo la óptica del derecho fundamental de los ciudadanos a la tutela judicial efectiva (art. 24 CE), el Tribunal Constitucional ha precisado también que “la posición, privilegiada frente a los demás deudores, de que goza la administración como consecuencia de su sometimiento al principio de legalidad presupuestaria y al régimen de presupuesto público establecido constitucionalmente (arts. 133.4 y 134 CE) no permite en ningún caso el desconocimiento o incumplimiento de sus obligaciones pecuniarias siempre y cuando se hayan contraído de acuerdo con las leyes” (STC 294/1994, FJ 3). En este sentido, conforme al art. 106 de la Ley 29/1998, de 13 de julio, reguladora de la jurisdicción contencioso-administrativa, el crédito con cargo al cual deba ejecutarse la condena al pago de una cantidad líquida es “ampliable” y, por tanto, susceptible de un tipo de modificación presupuestaria que puede acordar directamente la administración (art. 54 de la Ley 47/2003). El precepto añade que, si para efectuar el pago “fuese necesario realizar una modificación presupuestaria, deberá concluirse el procedimiento correspondiente dentro de los tres meses siguientes al día de notificación de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Cosa distinta y muy relevante a los efectos del presente proceso es que las partes hayan acordado libremente configurar la inexistencia de habilitación presupuestaria como condición resolutoria de los compromisos de gasto de carácter plurianual derivados de los convenios administrativos; contingencia a la que hace referencia el art. 47 bis, último párrafo, de la Ley 47/2003. En tal caso, por virtud de la voluntad negocial de las partes, si los presupuestos no autorizan el gasto, el Gobierno podrá declarar la extinción de la obligación y, con ello, la extinción del deber de reprogramarla y del derecho de la contraparte a exigir las modificaciones presupuestarias que hagan posible el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cláusula convencional será lícita y resultará aplicable cuando no sea el propio Gobierno quien haya propiciado la inexistencia de crédito (p. ej., mediante la no inclusión de la partida de gasto correspondiente en el proyecto de ley de presupuestos generales); de otro modo el convenio o su aplicación podría quebrar la igualdad negocial garantizada por la Ley 40/2015 [STC 132/2018, FJ 8 b)] con vulneración de la prohibición de las condiciones cuya verificación “depende de la exclusiva voluntad del deudor” y, en general, de las cláusulas que abandonan el cumplimiento de las obligaciones convencionales al arbitrio de una de las partes (arts. 1115 y 1256 del Código civil). A su vez, elementales exigencias de buena fe negocial y lealtad institucional obligan al Gobierno, antes de declarar la extinción del convenio por inexistencia de crédito suficiente, a comunicarlo a la contraparte, valorando otras soluciones posibles. Lo establece expresamente el art. 47 bis, último párrafo, de la Ley 47/2003: “En aquellos supuestos en los que la obligación de la hacienda pública estuviera condicionada, en el propio negocio o acto jurídico del que derive, a la existencia de crédito adecuado y suficiente en los presupuestos generales del Estado de cada uno de los ejercicios para los que se comprometió, el órgano administrativo, con carácter previo a acordar la resolución de la relación jurídica, valorará el presupuesto de gastos autorizado y el grado de ejecución del objeto del negocio, a fin de considerar soluciones alternativas antes de que opere la condición resolutoria, para lo cual deberá notificar de forma fehaciente al tercero tal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Estamos ya en condiciones de enjuiciar el art. 50.2 d) de la Ley 40/2015 y resolver los motivos de inconstitucionalidad dirigidos contra él. El precepto, tras referirse a los convenios “subvención” de carácter plurianual, dispone literalmente que “la aportación del Estado de anualidades futuras estará condicionada a la existencia de crédito en los correspondientes presupuestos”. La “existencia de crédito” se configura como “condición” de las obligaciones financieras derivadas de los convenios tomados en consideración. De modo que la “condición resolutoria” que incluían algunos de estos convenios y que menciona el art. 47 bis, último párrafo, de la Ley 47/2003 funciona ahora ope legis en todos ellos al margen de la voluntad negocial de las partes. En consecuencia, si los presupuestos generales no autorizan el crédito necesario para afrontar los compromisos plurianuales de gasto válidamente contraídos mediante convenios “subvención”, el Gobierno, cumplidas las exigencias del art. 47 bis, último párrafo, de la Ley 47/2003, podrá resolver tales compromisos. En tal caso, desaparecerá la obligación de reprogramar el cumplimiento y el correlativo derecho de la contraparte a exigir el pago, previa modificación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cuenta sin lugar a duda con competencia para regular el régimen obligacional y presupuestario de los convenios que suscriba su administración general con otras instancias territoriales (bases del régimen jurídico de las administraciones públicas y hacienda general ex arts. 149.1, números 18 y 14 CE), por lo que el art. 50.2 d) de la Ley 40/2015 en modo alguno vulnera las competencias estatutarias de las comunidades autónomas. Que la regulación controvertida pudiera ser imprecisa no altera esta conclusión; debemos recordar que el control de constitucionalidad excluye todo juicio de “oportunidad política” o sobre la “calidad” de la ley (STC 97/2018, de 19 de noviembre, FJ 2,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impugnada no está desprovista de explicación racional. Al permitir la resolución de compromisos plurianuales de gastos derivados de convenios “subvención” por ausencia de autorización presupuestaria, la norma desarrolla la temporalidad presupuestaria, esto es, un principio constitucional (art. 134.2 CE) respecto del que los créditos plurianuales son una excepción (arts. 34 y 47 de la Ley 47/2003). Si la inexistencia de crédito actúa como causa de invalidez de los compromisos de gasto ajustados al principio de anualidad (art. 46 de la Ley 47/2003), no es ilógico que, cumplidas las exigencias del art. 47 bis, último párrafo, de la Ley 47/2003, pueda constituirse en causa de resolución de compromisos de gasto de carácter plurianual. Por lo demás, no puede perderse de vista que, de acuerdo con el art. 156 CE y la LOFCA [arts. 1, 4.2 a), 15 y 16], la financiación autonómica ha de articularse ordinariamente dentro de un sistema general para el conjunto de las comunidades autónomas mediante trasferencias de recursos incondicionadas.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si los presupuestos no autorizan el gasto derivado del convenio “subvención”, la comunidad autónoma acreedora dejará de ingresar aquellas cantidades, pese a estar válidamente comprometidas por la administración general del Estado y oportunamente programadas en su ley autonómica de presupuestos. Ello afecta sin duda a su autonomía política y financiera (arts. 2, 137 y 156.1 CE), pero deriva, en última instancia, de principios constitucionales tales como la división de poderes, la autonomía parlamentaria y la legalidad presupuestaria (arts. 66, 67 y 134.2 CE). Ya hemos razonado que las Cortes Generales no están obligadas a autorizar el crédito necesario para satisfacer estos compromisos y que, sin la oportuna autorización presupuestaria, el Gobierno no puede ejecutarlos.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verdad que el art. 50.2 d) de la Ley 40/2015, interpretado en conexión con el art. 47 bis, último párrafo, de la Ley 47/2003, añade algo que no deriva directamente de principios constitucionales: la posibilidad de que el Gobierno resuelva por ausencia de crédito compromisos plurianuales de gasto previamente suscritos mediante convenios “subvención”. Sin embargo, varios argumentos permiten descartar la vulneración tanto de la autonomía política y financiera de las comunidades autónomas (arts. 2, 137 y 156.1 CE) como de la lealtad institucional, “principio que, aun cuando no está recogido de modo expreso en el texto constitucional”, constituye “un soporte esencial del funcionamiento del Estado autonómico y cuya observancia resulta obligada” [STC 215/2014, de 18 de diciembre,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una comunidad autónoma, cuando entra en negociaciones con la administración general del Estado en orden a financiar sus competencias al margen del sistema general mediante este instrumento extraordinario, conoce de antemano la facultad gubernamental de resolución de este tipo de compromisos plurianuales de gasto por ausencia del correspondiente crédito presupuestario. Si opta por suscribir el convenio, habrá consentido formalmente el riesgo de que no ingresen finalmente en sus arcas públicas cantidades válidamente comprometidas por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art. 50.2 d) de la Ley 40/2015 no exime al Gobierno del deber de prever el crédito necesario en los “escenarios presupuestarios plurianuales” (arts. 28 y 47.4 de la Ley 47/2003) y en el correspondiente proyecto de ley de presupuestos generales (art. 134.2 CE; arts. 32, 33 y 37.1 de la Ley 47/2003), ni de la obligación de realizar o promover las modificaciones presupuestarias que hagan efectivos los compromisos plurianuales de gasto que haya suscrito [arts. 47 y 47 bis, apartados 2 y 3, de la Ley 47/2003]. De ahí que el Gobierno, si incumple tales obligaciones, no esté autorizado a hacer valer la inexistencia de crédito como causa de resolución del convenio. Ha de interpretarse que la ausencia de crédito puede dar lugar a la resolución de compromisos de gasto solo si deriva de factores ajenos a la acción del poder ejecutivo. Cabe entender, en suma, que el Gobierno no puede acordar la resolución al amparo de los arts. 50.2 d) de la Ley 40/2015 y 47 bis, último párrafo, de la Ley 47/2003 si ha incumplido previamente las obligaciones indicadas (arts. 134.2 CE y 32, 33, 37, 47 y 47 bis, apartados 2 y 3, de la Ley 47/2003), esto es, si dejó de incluir el crédito necesario en el correspondiente proyecto de ley de presupuestos generales o de realizar o promover las modificaciones presupuestarias que habrían facilitado 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la previsión controvertida no ha abandonado el cumplimiento de las obligaciones financieras de los convenios “subvención” suscritos por la administración general del Estado al arbitrio de la propia administración general del Estado. Las Cortes Generales son Estado, pero, naturalmente, no se confunden con el Gobierno o la administración general. Afirmada la plena autonomía del poder legislativo para decidir en torno a la autorización de los compromisos de gasto de carácter plurianual contraídos por el ejecutivo, no puede decirse que la previsión controvertida haya dejado el cumplimiento del convenio “subvención” a la exclusiva voluntad de una de las partes. El Gobierno podrá declarar la extinción del compromiso de gasto derivado del convenio “subvención” solo si acontece un hecho futuro y ajeno a la voluntad de las partes: la ausencia de crédito en los presupuestos correspondientes. Según se ha razonado ya, no podrá hacer valer la condición resolutoria si él mismo ha propiciado la ausencia del crédito necesario, no incluyendo el correspondiente crédito en el proyecto de ley de presupuestos generales o dejando de realizar o promover las modificaciones presupuestarias que hagan posible 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cuando por razones ajenas a la voluntad del Gobierno falta el crédito necesario para cumplir los compromisos suscritos, el art. 50.2 d) de la Ley 40/2015 no impone automáticamente la extinción del convenio. Tampoco obliga a resolverlo en todo caso y sin tomar en consideración las perturbaciones que ello produce a la contraparte, en general, y sobre sus previsiones de ingresos y competencias, en particular. Al contrario, el Gobierno está obligado a realizar tales ponderaciones, no ya por elementales exigencias de buena fe o lealtad institucional, sino en virtud del art. 47 bis, último párrafo, de la Ley 47/2003. Conforme a este precepto, “con carácter previo a acordar la resolución de la relación jurídica”, el Gobierno debe valorar “el presupuesto de gastos autorizado y el grado de ejecución del objeto del negocio”, “considerar soluciones alternativas antes de que opere la condición resolutoria” y “notificar de forma fehaciente al tercero tal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juego de este precepto debe ponerse en conexión con el art. 47.5 de la Ley 47/2003: “No podrán adquirirse compromisos de gasto con cargo a ejercicios futuros cuando se trate de la concesión de subvenciones a las que resulte de aplicación lo dispuesto en el artículo 22.2 a) de la Ley 38/2003, de 17 de noviembre, general de subvenciones”. La prohibición se refiere a las subvenciones “previstas nominativamente en los presupuestos generales del Estado”, esto es, “aquellas en que al menos su dotación presupuestaria y beneficiario aparezcan determinados en los estados de gasto del presupuesto”. Los convenios “subvención” de carácter plurianual suscritos por la administración general del Estado con una comunidad autónoma o entidad local, en la medida en que se instrumenten como subvenciones nominativas del art. 22.2 a) de la Ley 38/2003, han quedado proscritos.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cabe concluir que el art. 50.2 d) de la Ley 40/2015 es una previsión dotada de cobertura competencial que no impone el desequilibrio obligacional que denuncia el Gobierno canario ni atenta contra la interdicción de la arbitrariedad (art. 9.3 CE), la lealtad institucional y la autonomía constitucionalmente garantizada a las comunidades autónomas (arts. 2, 137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Canarias vincula otras quejas (vulneración de los principios de suficiencia financiera y estabilidad presupuestaria ex arts. 156.1 y 135 CE) a la interpretación de que el art. 50.2 d) de la Ley 40/2015 autoriza al Gobierno a dejar de aportar fondos comprometidos con las comunidades autónomas por el procedimiento de no incluir el crédito necesario en el correspondiente proyecto de ley de presupuestos generales. No siendo admisible esta interpretación, según acabamos de razonar, procede descartar igualmente estos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Estado viene ejerciendo su competencia para regular el régimen obligacional y presupuestario de los convenios que suscriba su administración general con otras instancias territoriales (bases del régimen jurídico de las administraciones públicas y hacienda general ex arts. 149.1, números 18 y 14 CE) a través de legislación ordinaria, sin vulnerar por ello la reserva de ley orgánica establecida en el art. 157.3 CE, que debe interpretarse restrictivamente [SSTC 173/1998, de 23 de julio, FJ 7; 135/2006, de 27 de abril, FJ 2 c), y 215/2014, de 18 de diciembre, FJ 3 a)]. No hay una “interferencia directa” de la administración general del Estado sobre la autonomía financiera de las comunidades autónomas que exija la entrada en juego de la regulación orgánica (STC 41/2016, de 3 de marzo, FJ 16). En consecuencia, el precepto controvertido tampoco invade la reserva de ley orgánica establecida en el art.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desestimar la impugnación del art. 50.2 d) de la Ley 40/2015.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de Canarias impugna, en fin, la disposición adicional octava de la Ley 40/2015, que lleva el rótulo “adaptación de los convenios vigentes suscritos por cualquier administración pública e inscripción de organismos y entidades en el inventario de entidades del sector público estatal, autonómico y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al apartado primero, párrafo primero, de la disposición impugnada, “todos los convenios vigentes suscritos por cualquier administración pública o cualquiera de sus organismos o entidades vinculados o dependientes deberán adaptarse a lo aquí previsto en el plazo de tres años a contar desde la entrada en vigor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recurrente, el precepto viene a suprimir los instrumentos de cooperación que no hayan sido adaptados a la regulación estatal en el plazo trienal indicado. El mantenimiento de los convenios, acuerdos y mecanismos de colaboración debería depender de la propia voluntad de los entes territoriales que los han suscrito. El Estado carecería de título competencial para adoptar semejante regulación. Habría invadido la competencia de autoorganización (arts. 30.1 y 32.6 EACan) y la autonomía política (arts. 2 y 156 CE)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el Estado cuenta con competencia para establecer legislación básica, va de suyo que está habilitado también para regular el ámbito de aplicación temporal de esa legislación [STC 49/2018, de 10 de mayo, FJ 7 b) y c)]. La disposición adicional octava de la Ley 40/2015 cristaliza una opción político-legislativa expresiva de la competencia estatal para regular las bases del régimen jurídico de las administraciones públicas (art. 149.1.18 CE). La opción escogida es, por lo demás, respetuosa con la autonomía organizativa de las comunidades autónomas; confiere a las administraciones un plazo de tres años para adaptar a la nueva regulación los convenios administrativos que, habiéndose celebrado antes de la entrada en vigor, sigan vigentes después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estatal para establecer el ámbito de aplicación de la legislación básica permite igualmente ordenar la supresión o disolución de aquellas estructuras o instrumentos administrativos que no se adapten a las nuevas bases dentro de un plazo determinado. Así lo ha declarado este Tribunal al examinar preceptos que imponían por esta razón la supresión de mancomunidades [STC 41/2016, de 3 de marzo, 8 b)]; “convenios, acuerdos y demás instrumentos de cooperación” [STC 41/2016, FJ 11 c)]; y entes instrumentales (“organismos, entidades, sociedades, consorcios, fundaciones, unidades y demás entes”) adscritos o vinculados a (o dependientes de) las corporaciones locales (SSTC 44/2017, de 27 de abril, FJ 3, y 54/2017, de 11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ello, procede desestimar la impugnación de la disposición adicional octava de la Ley 40/2015.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