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20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1374-2018, interpuesto por la Administración General del Estado contra la sentencia recaída en el recurso de casación contencioso-administrativo núm. 3332-2015, dictada por la Sección Tercera de la Sala de lo Contencioso-Administrativo del Tribunal Supremo en fecha 12 de diciembre de 2017; y contra el auto de 26 de enero de 2018, de la misma sala y sección, que desestimó el incidente de nulidad de actuaciones promovido por la ahora recurrente frente a la citada sentencia. Ha intervenido el Ministerio Fiscal. Han comparecido las entidades mercantiles EDP España, S.A.U., y Gas Natural SDG, S.A.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14 de marzo de 2018, la Administración General del Estado, representada por el abogado del Estado, interpuso recurso de amparo contra la sentencia y el auto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14 de marzo de 2014 se interpuso por la entidad Gas Natural SDG, S.A., recurso contencioso-administrativo frente a la Orden IET/350/2014, de 7 de marzo, dictada por el Ministerio de Industria, Comercio y Turismo por la que se fijan los porcentajes de reparto de las cantidades a financiar relativas al bono social correspondientes a 2014 a propuesta de la Comisión Nacional de los Mercados y la Competencia, de acuerdo con lo establecido en el artículo 45.4 de la Ley 24/2013, de 23 de diciembre, del sector eléctrico (LSE). El recurso fue desestimado por sentencia de la Sección Cuarta de la Sala de lo Contencioso-Administrativo de la Audiencia Nacional de 16 de septiembre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 de diciembre de 2015, la entidad Gas Natural SDG, S.A., interpuso ante el Tribunal Supremo recurso de casación contencioso-administrativo contra la anterior sentencia —al que se opuso la Abogacía del Estado— en cuyo suplico se pedía, con carácter principal, el dictado de sentencia que estime el recurso de casación y declare que el artículo 45.4 de la Ley 24/2013 del sector eléctrico , así como la orden impugnada, son contrarios al Derecho de la Unión por infracción del principio de no discriminación recogido en el artículo 3.1 de la Directiva 2009/72/CE , y por tanto resultan inaplicables.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12 de diciembre de 2017, la Sección Tercera de la Sala de lo Contencioso-Administrativo del Tribunal Supremo dictó sentencia, cuyo fallo, a los efectos que interesan en el presente recurso,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“Estimamos el recurso contencioso-administrativo interpuesto por la representación procesal de Gas natural SDG, S.A. contra la Orden IET/350/2014, de 7 de marzo, por la que se fijan los porcentajes de reparto de las cantidades a financiar relativas al bono social correspondientes a 2014, declarando nula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Declaramos el derecho de Gas natural SDG, S.A. a ser indemnizada por las cantidades abonadas en concepto de bono social en aplicación de la Orden IET/350/2014, de 7 de marzo, de manera que se reintegren a la demandante todas las cantidades que haya abonado por ese concepto correspondientes a 2014, que se determinarán en ejecución de sentencia, más los intereses legales correspondientes computados desde fecha en que se hizo el pago hasta la fecha de su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 el órgano judicial se refería a la fundamentación contenida entre otras en la sentencia de 24 de octubre de 2016, de la Sección Tercera de la Sala de lo Contencioso-Administrativo del Tribunal Supremo —anulada por el Pleno del Tribunal Constitucional en la STC 37/2019, de 26 de marzo— y en la sentencia de 2 de noviembre de 2016, de la misma Sección —también anulada por la STC de 8 de abril de 2019—, dictada por la Sala Segunda de este Tribunal, indicando en el fundamento jurídico 3 que las consideraciones expuestas en las citadas sentencias, y en otras con la misma fundamentación, así como en los autos dictados en ejecución, llevan a considerar que la sentencia recurrida debe ser casada y anulada, al derivarse de los referidos pronunciamientos del Tribunal Supremo que la Orden IET/350/2014, debe ser declarada nula, al haber sido dictada en desarrollo de un precepto legal —el art. 45.4 de la Ley 24/2013— que ha sido inaplicado por sentencia firme, por resultar incompatible con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de fecha 5 de enero de 2018, la Administración General del Estado promovió incidente de nulidad de actuaciones contra la sentencia antes referida, en el cual denunció: i) vulneración del derecho a la tutela judicial efectiva (art. 24.1 CE) y del derecho a un proceso con todas las garantías (art. 24.2 CE), por haber sido inaplicada una norma con rango de ley sin promover cuestión de inconstitucionalidad; ii) vulneración de los derechos anteriormente indicados por no plantear cuestión prejudicial ante el Tribunal de Justicia de la Unión Europea y iii)la vulneración del derecho a la tutela judicial efectiva por incongruencia omisiva, ya que, al entender de la recurrente, la sala no se pronunció sobre algunas cuestiones esenciales para enjuiciar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falta de planteamiento de la cuestión prejudicial ante el Tribunal de Justicia de la Unión Europea, la administración desarrolla una extensa argumentación a fin de explicar cuáles son los requisitos del “acto aclarado”, según doctrina del Tribunal de Justicia y exponer las razones por las que, de acuerdo a esa doctrina, considera que los supuestos que el órgano judicial toma como referentes como “acto aclarado”, que le dispensa de plantear la referida cuestión prejudicial (las sentencias recaídas en los asuntos Federutility y Anode), no pueden ser tenidos en cuenta a estos efectos, dadas las disimilitudes entre dichos supuestos y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incidente fue desestimado por auto de fecha 26 de enero del 2018. El órgano judicial argumentaba que los motivos de nulidad que se aducían en este caso eran idénticos a los que la abogacía del Estado había esgrimido en el incidente de nulidad que promovió en su día contra las sentencias de la misma Sala, que resolvieron los recursos de casación 149-2016 y 3875-2015, por lo que la sala reitera las consideraciones que efectuó en los autos dictados con fecha 24 de enero de 2018, en los incidentes de nulidad de actuaciones promovidos contra las sentencias dictadas en los citados recursos de casación. Afirma que si se consideró innecesario el planteamiento de la cuestión prejudicial ante el Tribunal de Justicia de la Unión Europea en las sentencias de 24 de octubre y 2 de noviembre de 2016, de la Sección Tercera de la Sala de lo Contencioso-Administrativo del Tribunal Supremo —que como se ha referido fueron anuladas por las SSTC 37/2019, de 26 de marzo y 46/2019 de 8 de abril—,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también descartó la queja de lesión por no haber sido planteada cuestión de inconstitucionalidad, señalando que firme el pronunciamiento que había declarado inaplicable el art. 45.4 de la Ley 24/2013 por contravenir el derecho de la Unión Europea, la constatación de que la Orden IET/350/2014 había sido dictada precisamente en desarrollo de aquel precepto llevaba directamente a la conclusión de que la orden debía ser declarada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también se rechazó el alegato relativo a la vulneración del derecho a la tutela judicial efectiva en la modalidad de incongruencia omisiva por falta de pronunciamiento sobre cuestiones esenciales para enjuiciar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 Tras destacar los aspectos más relevantes del procedimiento judicial, la recurrente justifica la especial trascendencia constitucional del recurso en los términos que, a continuación, se exponen: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y poder apreciar directamente que una disposición interna con rango de ley es contraria al Derecho europeo. Esa temática ostenta una clara relevancia pues, conforme así se afirma en la STC 232/2015, dejar de aplicar una ley interna sin previamente plantear cuestión prejudicial ante el Tribunal de Justicia de la Unión Europea, por entender que dicha ley es contraria al Derecho de la Unión Europea, vulnera el derecho a un proceso con todas las garantías, si existe una duda objetiva, clara y terminante sobre esa supuesta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que lo que en esta sede debe resolverse no atañe al eventual acierto del órgano judicial al resolver el litigio, pues lo verdaderamente primordial consiste en delimitar cuál es el alcance de las facultades que esos órganos ostentan y la amplitud del margen de interpretación del que disponen para no aplicar directamente una norma interna con rango de ley, por considerarla contraria al Derecho europeo, sin plantear previamente cuestión prejudicial ante el Tribunal de Justicia de la Unión Europea. Según el demandante, lo novedoso del caso reside en que, por considerar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 Insiste en que, sobre este aspecto o cuestión, aún no se ha fijado de manera definitiva doctrina por parte del Tribunal Constitucional y la solución que propone es que, en esta sede, se acoten restrictivamente las facultades interpretativas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Anode),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traída como parámetro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sentencia combatida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Considera que el Tribunal Supremo sustenta la aplicación al caso de la doctrina del “acto aclarado” en las sentencias recaídas en los asuntos Federutility y Anode, que, según su criterio, constituyen supuestos análogos que, conforme a la “doctrina Cilfit”, justifican la inaplicación del art. 45.4 de la LSE. Sin embargo, respecto de la STJUE de 20 de abril de 2010 —asunto Federutility—,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administración esta cuestión no puede considerarse materialmente idéntica a la que se suscita en el presente caso, pues la supuesta discriminación que aprecia el tribunal a quo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Federutility para ser invocada como supuesto idéntico en relación con la asunción de la financiación de ciertos costes del sector eléctrico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en la demanda la segunda de las sentencias traídas a colación por el Tribunal Supremo, esto es, la STJUE de 7 de septiembre de 2016 —asunto Anode—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éstos se refieren a la protección de los consumidores vulnerables, aspecto este que es completamente ajeno a la determinación de los componentes del precio del gas en aquel caso. Al margen de lo expuesto, para la demandante tampoco cabe entender que las consideraciones que se formulan en el parágrafo 71 de la sentencia recaída en el asunto Anode,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invoca algunos de los argumentos que figuran en el voto particular formulado por el magistrado disidente; en síntesis, que concurren diferencias sustanciales entre el caso resuelto por el Tribunal de Justicia de la Unión Europea y los presupuestos fácticos y jurídicos examinados en el recurso contencioso-administrativo tramitado por el Tribunal Supremo, por lo que no resulta aplicable la doctrina del “acto aclarado” a fin de eludir el planteamiento de la cuestión prejudicial en el presente caso.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de la Unión Europea y iii) el juez nacional ha resuelto el proceso inmiscuyéndose en un ámbito o competencia jurisdiccional ajeno, dando lugar a que la controversia sea decidida por un juez o tribunal distinto del querido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2018, la Sección Segunda de la Sala Primera de este Tribunal acordó admitir el presente recurso a trámite apreciando que concurre especial transcendencia constitucional (artículo 50.1 de la Ley Orgánica del Tribunal Constitucional: LOTC), porque plantea un problema o una faceta de un derecho fundamental sobre el que no hay doctrina de este Tribunal. [STC 155/2009, FJ 2 a)]. Seguidamente, en aplicación de lo dispuesto en el artículo 51 LOTC, dirigió atenta comunicación a la Sección Tercera de la Sala de lo Contencioso-Administrativo del Tribunal Supremo, a fin de que, en plazo que no excediera de diez días, remitiera certificación o fotocopia adverada de las actuaciones correspondientes al recurso contencioso-administrativo núm. 94-2014, practicando los correspondientes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la presentación de sendos escritos de 17 de septiembre de 2018, la entidad EDP España, S.A.U., representada por el procurador de los tribunales don Carlos Mairata Laviña y asistida por la letrada doña Jorgelina Expósito Blanco y la mercantil Gas Natural SDG, S.A., representada por la procuradora de los tribunales doña Pilar Iribarren Cavalle y asistida por la letrada doña Victoria Serrano Dublan, interesaron que se las tuviera por personadas y parte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27 de septiembre de 2018, el secretario de justicia de la Sección Segunda tuvo por personados y parte en el procedimiento a EDP España, S.A.U., y Gas Natural SDG, S.A., a través de la indicada representación procesal. Asimismo, de conformidad con lo dispuesto en el artículo 52.1 LOTC, se dispuso dar vista de las actuaciones a las partes personadas y al ministerio fiscal, por plazo común de 20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29 de octubre de 2018 tuvieron entrada en el registro de este Tribunal las alegaciones de Gas Natural SDG, S.A., en las que interesa: la acumulación de los recursos de amparo y su avocación al Pleno del Tribunal Constitucional, a fin de evitar resoluciones contradictorias al ser idéntico el presente recurso a otros cuatro ya interpuestos y admitidos, uno de los cuales, el núm. 593-2017, ya había sido admitido y avocado al Pleno; el archivo del recurso por carencia sobrevenida de objeto; la inadmisión del recurso por falta de legitimación de la demandante;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pérdida sobrevenida de objeto considera que en virtud del Real Decreto-ley 7/2016, se ha derogado la norma en que la administración fundaba su posición y en virtud de la Orden ETU/1288/2017, de 22 de diciembre, publicada en el “Boletín Oficial del Estado” de 27 de diciembre de 2017, la propia administración ha ejecutado el pronunciamiento de condena al pago contenido en la sentencia impugnada, lo que supone que los efectos perniciosos para la administración del Estado ya no permanecen.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legitimación de la administración, la codemandada alega que la STC 78/2010, de 20 de octubre, apreció la falta de legitimación de la persona jurídico-pública en relación con el derecho a la tutela judicial efectiva (art. 24.1 CE) en un caso, como el presente, relativo a la falta de planteamiento de una cuestión prejudicial en un pleito en el que la administración defendía el ejercicio de sus potestades públicas. La legitimación de la persona jurídico-pública sólo existiría, en un supuesto de ese tipo, si hubiera padecido indefensión, lo que, según sostiene la entidad, no ha ocurrido en el presente caso, ya que el abogado del Estado no sólo no propuso al órgano judicial el planteamiento de cuestión prejudicial sino que se opuso expresamente a dicho planteamiento. Por ello, concluye, puede decirse que “la parte ahora recurrente en amparo carece manifiestamente de legitimación para formular semejante pretensión consistente en solicitar al Tribunal Constitucional lo opuesto a lo solicitado ante el Tribunal Supremo”, circunstancia a la que se suma que la propia Administración General del Estado “ha acatado el fallo de la sentencia impugnada”, habiéndose modificado incluso el tenor del art. 45.4 LSE para adaptarlo a la doctrina fijada por el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la codemandada afirma que, desde la STC 78/2010, de 20 de octubre, y, en particular, con las SSTC 212/2014, de 18 de diciembre, y 3/2016, de 18 de enero, así como con el ATC 155/2016, de 20 de septiembre, “desde la perspectiva del art. 24.1 CE el canon de control establecido respecto del único motivo de amparo (la decisión de no plantear cuestión prejudicial) no difiere del fijado por este alto Tribunal respecto del de la motivación de las resoluciones judiciales, por lo que ‘lo único’ que le corresponde al Tribunal Constitucional [es] ‘ponderar si la resolución judicial está fundada en Derecho y es fruto de una exégesis racional de la legalidad ordinaria’”. Con esta perspectiva, analiza los fundamentos de derecho séptimo y octavo de la sentencia impugnada y llega a la conclusión de que la motivación empleada en ellos no puede ser calificada “de arbitraria, ni tampoco de ‘manifiestamente’ irrazonable, pues el Tribunal Supremo, en los referidos fundamentos jurídicos, justifica de forma razonada y razonable, su decisión con base en la propia doctrina del Tribunal de Luxemburgo sobre el ‘acto aclarado’ y teniendo bien en cuenta la doctrina fijada por la citada STC 78/2010, de 20 de octubre, del Pleno que concluye que la concurrencia de los presupuestos fijados al efecto por el propio Derecho comunitario para dejar de aplicar una norma legal vigente por su contradicción con una directiva ‘corresponde apreciar a los jueces y tribunales de la jurisdicción ordinaria’”. Es, por ello, claro, concluye “que el Tribunal Supremo ha obrado conforme a Derecho como juez comunitario, interpretando la directiva en cuestión según la doctrina aclarada del Tribunal de Luxemburgo, tan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29 de octubre de 2018 presentó sus alegaciones EDP España, S.A.U., (antes Hidroeléctrica del Cantábrico, S.A.U.) En primer lugar, la codemandada lleva a cabo una exposición sobre la evolución legislativa en relación con la financiación del bono social, hasta llegar a la Ley 24/2013, de 26 de diciembre, del sector eléctrico. Acto seguido, manifiesta que la administración carece de legitimación para interponer recurso de amparo, ya que sus alegaciones contradicen abiertamente lo defendido durante todo el debate procesal previo, pues en todos los procedimientos relativos a la financiación del bono social en que intervino, como parte demandada, se opuso expresamente al planteamiento de la cuestión prejudicial. También, afirma que la administración ya ha cumplido voluntariamente el fallo del Tribunal Supremo, lo que le priva del interés legítimo para obtener la tutela judicial en relación a la pretensión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expone que la sentencia recurrida no ha vulnerado ningún derecho fundamental reconocido en el artículo 24 CE. A este respecto, sostiene que el Tribunal Supremo resolvió con fundamento en la doctrina del “acto aclarado”, a la vista de la jurisprudencia asentada por el Tribunal de Justicia de la Unión Europea en los asuntos Federutility y Anode, con estricto acatamiento de la doctrina constitucional (SSTC 194/2006, de 19 de junio, FJ 2; y 212/2014, de 18 de diciembre, FJ 3) que, en relación con la decisión de no plantear cuestión prejudicial, establece que al Tribunal Constitucional solo le corresponde ponderar si la resolución judicial está fundada en derecho y es fruto de una exégesis racional de la legalidad ordinaria. Y, en el presente caso, afirma, las justificaciones contenidas en los fundamentos jurídicos 7 y 8 de la sentencia cuestionada son más que suficientes para constatar que se ha respetado ese canon, pues el órgano judicial motiva de forma razonada y razonable la decisión, con base en la propia doctrina del Tribunal de Luxemburgo sobre el “acto aclarado”, de no plantear cuestión prejudicial ante el Tribunal de Justicia de la Unión Europea. Por todo ello, la codemandada interesa la íntegra desestimación del recurso de amparo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mediante escrito registrado el día 19 de noviembre de 2018. Tras referirse a los principales aspectos de los que trae causa el presente recurso y compendiar las alegaciones expuestas en la demanda de amparo, señala, en primer lugar, que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ministerio fiscal pasa a explicar el mecanismo del bono social que, según refiere,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el régimen de financiación del bono social. Esas disposiciones, recuerda el ministerio fiscal,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Federutility. Ello condujo a la sala tercera a declarar la inaplicabilidad del régimen de financiación del bono social establecido en las normas españolas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posterior del bono social se prevé en el artículo 45.4 de la Ley 24/2013, de 26 de diciembre, del sector eléctrico, más tarde modificada por el Real Decreto- 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advierte de que la sentencia impugnada en esta sede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Tratado de funcionamiento de la Unión Europea.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a lo expuesto trae a colación la STC 232/2015, de 5 de noviembre, fundamento jurídico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 1 CE, el carácter fundado de una resolución judicial que no aplica una norma legal vigente por su oposición al Derecho europeo, sin suscitar cuestión prejudicial, habrá de estar a lo establecido por la propia doctrina del Tribunal de Justicia de la Unión Europea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Dhabi contra Italia, también pone de manifiesto, en relación con el derecho al proceso debido reconocido en el art 6.1 del Convenio Europeo de Derechos Humanos, que los órganos judiciales nacionales deben justificar, de acuerdo con la doctrina del Tribunal de Justicia de la Unión Europea, los supuestos por los que deciden no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a continuación, que, en los casos en que no se plantea la cuestión prejudicial y no se aplica directamente la norma legal nacional, se incide en la integridad del ordenamiento jurídico, al eludir también el control de la cuestión de inconstitucionalidad, sobre la base de la primacía del Derecho de la Unión. Así, en la propia STC 78/2010, el Tribunal Constitucional entró a enjuiciar, en el caso que examinaba, el carácter fundado de la resolución que no había 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 doctrina Cilfit sobre los supuestos de dispensa del planteamiento de la cuestión prejudicial, el ministerio fiscal compendia la argumentación judicial dada a favor de omitir la cuestión prejudicial. Sobre ese particular, pone de relieve que, en el fundamento jurídico 8 de la sentencia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STJUE de 20 de abril 2010 recaída en el asunto Federutility, que la referida resolución consideró como “acto aclarado”. En relación con el presente supuesto, el órgano judicial también considera que existen decisiones prejudiciales del Tribunal de Justicia de la Unión Europea en casos análogos; en concreto, la ya citada STJUE de 20 de abril de 2010, dictada en al asunto Federutility, y la de 7 de septiembre de 2016, recaída en el asunto Anode.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ministerio fiscal comparte el criterio de la administración recurrente acerca de que el Tribunal Supremo no ha justificado realmente que concurra un supuesto de “acto aclarado”. Según manifiesta, el citado Tribunal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de la Unión Europea que se pronuncian sobre la interpretación de las directivas relativas al mercado del gas —y no sobre las del mercado de la electricidad— y además se refieren a otro tipo de obligaciones de servicio público distintas del bono social. Añade que la sentencia del caso Anode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ministerio fiscal entiende que no se ha apreciado correctamente la doctrina del “acto aclarado”, pues el objeto de la decisión prejudicial que fue resuelta por el Tribunal de Justicia de la Unión Europea (caso Anode) no puede ser considerado idéntico o análogo al actual; que se trata de directivas distintas, cuya aplicación se proyecta sobre los mercados interiores de dos productos energéticos diferentes (gas y energía); y que la norma legal controvertida impone un precio regulado a determinadas suministradoras de gas, a fin de garantizar el suministro y la cohesión social (asunto Anode), mientras que en el proceso de origen del presente recurso de amparo, la cuestión discutida se refiere al régimen de financiación del bono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afirmado sobre la falta de explicación de las razones por las que concurren los requisitos del “acto aclarado”, el ministerio fiscal reitera que el tribunal a quo no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Cilfit. También incide a favor de esas dudas la existencia de un voto particular contra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no aplicar directamente la norma legal vigente y eludir indebidamente el mecanismo de control. Ello lleva a la fiscalía a interesar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21 de noviembre de 2018, se hizo constar que no habiéndose recibido alegaciones de la abogacía del Estado, quedaba el recurso de amparo pendiente de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16 de mayo de 2019,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sentencia recaída en el recurso de casación contencioso administrativo núm. 3332-2015, dictada por la Sección Tercera de la Sala de lo Contencioso-Administrativo del Tribunal Supremo en fecha 12 de diciembre de 2017, así como el auto de 26 de enero de 2018, del mismo órgano judicial que desestimó el incidente de nulidad de actuaciones promovido por la ahora recurrente frente a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pretensión de pérdida sobrevenida de objeto (STC 37/2019, FJ 2), y de falta de legitimación de la Administración demandante [STC 37/2019, FJ 3 a)], y debemos dar por reproducidos los fundamentos jurídicos 4 a 6, por los que tras exponer la doctrina constitucional sobre el planteamiento de la cuestión prejudicial y examinar el pronunciamiento de la Sala Tercera del Tribunal Supremo consideramos vulnerado el derecho a un proceso con todas las garantías (art. 24.2 CE) debido a la insuficiente motivación de la sentencia en lo relativo a la existencia de “acto aclarado” y a la ausencia de los presupuestos necesarios para apreciar que concurriera dicho “acto aclarado”.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la Administración General del Estado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12 de diciembre de 2017, de la Sección Tercera de la Sala de lo Contencioso-Administrativo del Tribunal Supremo y el auto de 26 de enero de 2018, de la misma Sala y Sección, por el que se desestimó el incidente de nulidad de actuaciones promovido frente a la referida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la sentencia, para que el indicado órgano judicial dicte nueva resolución que sea respetuosa con el derecho fundamental vulnerado, en los términos expresados en el fundamento jurídico sexto de la STC 37/2019, de 26 de marzo.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en relación con la sentencia de la Sala Primera de 20 de mayo de 2019 dictada en el recurso de amparo núm. 1374-2018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el recurso de amparo núm. 1374-2018.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las mismas que se contienen en el voto particular que formulé a la STC 37/2019, de 26 de marzo, mostrando mi parecer opuesto a la legitimación de la Administración General del Estado para solicitar en amparo la protección de sus derechos fundamentales. Para evitar reiteraciones innecesarias, me remito a lo razonado en aquella ocasión.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mayo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