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1542-2018, promovido por el abogado del Estado, en representación de la Administración General del Estado, contra la sentencia de la Sección Tercera de la Sala de lo Contencioso-Administrativo del Tribunal Supremo de 12 de diciembre de 2017, recaída en el recurso de casación núm. 3312-2015, y contra el auto de 1 de febrero de 2018, que desestimó el incidente de nulidad de actuaciones promovido frente a la referida sentencia. Ha comparecido la entidad Productora Eléctrica Urgelense, S.A.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marzo de 2018, el abogado del Estado, en representación de la Administración General del Estado,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7 de mayo de 2014, la mercantil Productora Eléctrica Urgelense, S.A., interpuso recurso contencioso-administrativo contra la Orden IET/350/2014, de 7 de marzo, por la que se fijan los porcentajes de reparto de las cantidades a financiar relativas al bono social correspondientes a 2014 (en adelante Orden IET/350/2014). Dicha orden fue dictada en desarrollo del art 45.4 de la Ley 24/2013, de 29 de diciembre, del sector eléctrico (en adelante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al presente recurso, la entidad recurrente solicitó que se declarase la invalidez e inaplicación de la Orden IET/350/2014 y del art. 45.4 LSE, por vulnerar lo dispuesto en el art 3 de la Directiva 2009/72/CE del Parlamento Europeo y del Consejo, de 13 de julio de 2009, sobre normas comunes para el mercado interior de la electricidad (en adelante Directiva 2009/72/ CE), en la medida que el mecanismo de financiación del bono social es discriminatorio y no garantiza a las empresas eléctricas de la Unión Europea el acceso en igualdad de condiciones a los consumidores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citado recurso contencioso-administrativo, registrado con el núm. 179-2014, conoció la Sección Cuarta de la Sala de lo Contencioso-Administrativo de la Audiencia Nacional que, tras la tramitación del procedimiento, dictó sentencia desestimatoria en fecha 16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sentencia la referida mercantil interpuso recurso de casación, del que, con el núm. 3312-2015, conoció la Sección Tercera de la Sala de lo Contencioso-Administrativo del Tribunal Supremo. Dicho tribunal dictó sentencia, de fecha 12 de diciembre de 2017, que fue estimatoria del recurso de casación y anuló la sentencia recurrida. En lo que atañe a este recurso, declaró la nulidad de la Orden IET/350/2014, al haber sido dictada en desarrollo del art 45.4 LSE. La referida resolución se remite a las sentencias de la misma sala, de fechas 24 de octubre de 2016 (recursos contencioso-administrativos núms. 960-2014 y 961-2014), 25 de octubre de 2016 (recurso núm. 16-2015) y 2 de noviembre de 2016 (recurso núm. 11-2015), en las que se declara inaplicable el régimen de financiación del bono social establecido en el artículo 45.4 LSE, por resultar incompatible la Directiva 2009/72/CE; asimismo, se declaran también no aplicables y nulos los artículos 2 y 3 del Real Decreto 968/2014, de 21 de noviembre, que desarrollan lo dispuesto en el citado artículo 45.4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como referente las resoluciones recaídas en el recurso contencioso-administrativo núm. 961-2014, el tribunal de casación trae a colación el siguiente apartado del fundamento jurídico séptimo de la sentencia de 24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24/2013 no contiene una relación nominal de las empresas o grupos de empresas que deben asumir la financiación del bono social. Fue la Orden IET/350/2014, de 7 de marzo, por la que se fijan los porcentajes de reparto de las cantidades a financiar relativas al bono social correspondientes a 2014 —orden dictada en aplicación de lo previsto en el artículo 45.4 de la Ley 24/2013 , pero antes de que se hubiese producido el desarrollo reglamentario de ésta mediante el Real Decreto 968/2014— la que vino a identificar a las entidades concernidas y a fijar los porcentajes de reparto de las cantidades a financiar relativas al bono social correspondiente 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transcribe el siguiente razonamiento del auto de la Sala de lo Contencioso-Administrativo del Tribunal Supremo de 18 de septiembre de 2017 (recurso núm. 961-2014):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señalado en la propia sentencia que la Orden IET/350/2014 fue dictada en aplicación de lo previsto en el artículo 45.4 de la Ley 24/2013, y como sabemos, en el apartado 2 de la parte dispositiva de la sentencia se acuerda ‘2. Declarar inaplicable el régimen de financiación del bono social establecido en el artículo 45.4 de la Ley 24/2013, de 26 de diciembre, por resultar incompatible con la Directiva 2009/72/CE...’. Por tanto, bien podría decirse que la Orden IET/350/2014 tiene el mismo vicio de origen que el Real Decreto 968/2014, de 21 de noviembre, por cuanto ambos traen causa de un precepto legal que ha sido declarado inaplicable por resultar incompatible con la norma comunitaria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la sentencia no declara la nulidad de la Orden IET/350/2014 —no era objeto de impugnación en el proceso ni se formulaba pretensión respecto de ella— y en los apartados 3/ y 4/ del fallo se declaran inaplicables y nulos los artículos 2 y 3 del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pronunciamientos trascritos, la sentencia del Tribunal Supremo extrae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“Vemos así que el vicio de origen que aqueja a la Orden IET/350/2014 aparece ya señalado de forma anticipada en los autos dictados en ejecución de las sentencias que declaran inaplicable el régimen de financiación del bono social establecido en el artículo 45.4 de la Ley 24/2013 e inaplicables y nulos los artículos 2 y 3 del Real Decreto 968/2014. Y si tales autos no declararon la nulidad de la Orden IET/350/2014 fue, sencillamente, porque la orden no había sido objeto de impugnación en el proceso ni se había formulado pretensión respecto de ella. Además, en los propios autos quedaba señalado que no debíamos interferir entonces en lo que era objeto de otros litigios, pues la Orden IET/350/2014 había sido objeto de impugnación en diferentes recursos seguidos ante la Sala de lo Contencioso-Administrativo de la Audiencia Nacional y contra las sentencias recaídas en tales procesos se habían interpuesto recursos de casación que se encontraban en aquel momento pendientes de resolución (recurso de casación 3127-2015, 3332-2015, 3374-2015, 3864-2015, 3875-2015, 3885-2015, 122-2016, 149-2016 y 714-2016)”.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la abogacía del Estado interpuso incidente de nulidad de actuaciones, en fecha 4 de enero de 2018, en el que alegó vulneración de los derechos a la tutela judicial efectiva y a un proceso con todas las garantías (art. 24.1 y 2 CE), por no haber planteado el órgano judicial cuestión prejudicial al ante el Tribunal de Justicia de la Unión Europea (TJUE) y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Supremo desestimó dicho incidente de nulidad por auto de fecha 1 de febrero del 2018. En relación con la falta de planteamiento de la cuestión prejudicial, el órgano judicial rechaza que se hayan producido las vulneraciones objeto de denuncia, toda vez que en las sentencias antes citadas, de fechas 24 de octubre de 2016 (dos sentencias con esa fecha, dictadas en los recursos 960-2014 y 961-2014), 25 de octubre de 2016 (recurso núm. 16-2015) y 2 de noviembre de 2016 (recurso núm. 11-2015), se explicitan las causas por las que no resulta precisa su formulación. En concreto,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reiteraremos aquí las razones que dimos entonces, que la abogacía del Estado conoce, sin duda, pues la Administración fue parte en todos aquellos procesos. Lo que interesa destacar ahora es que si el planteamiento de cuestión prejudicial ante el Tribunal de Justicia de la Unión Europea se consideró innecesario entonces, con mayor razón resultará innecesario el planteamiento de la cuestión prejudicial para declarar la nulidad de una orden que fue dictada en desarrollo del precepto legal que entonces se declaró inaplicable por ser contrario al ordenamiento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análogas a las señaladas también se descarta la queja por no haberse planteado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por sentencia firme había sido declarado inaplicable el artículo 45.4 de la Ley 24/2013, por contravenir el Derecho de la Unión Europea, la constatación de que la Orden IET/350/2014 había sido dictada precisamente en desarrollo de aquel precepto legal llevaba directamente a la conclusión de que dicha orden debía ser declarada nula, sin que para hacer tal pronunciamiento resultase necesario el previo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desecha la queja de haber incurrido en incongruencia omisiva,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motivo de nulidad se ciñe a la falta de examen en la sentencia de los argumentos esgrimidos por la abogacía del Estado en su escrito de oposición del recurso de casación, lo cierto es que la razón dada en la sentencia para declarar nula la Orden IET/350/2014 —esto es, la existencia de pronunciamientos judiciales firmes que declaran inaplicable el precepto legal a que dicha orden sirve de desarrollo— hacía innecesario el examen de aquellos argumentos de oposición, como innecesario se consideró también el examen de los motivos de casación formulados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General del Estado,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 Tras destacar los aspectos más relevantes del procedimiento judicial, la administración recurrente justifica la especial trascendencia constitucional del recurso en los términos que, a continuación, se exponen: el Tribunal Constitucional carece de doctrina consolidada respecto del criterio de identidad o evidencia al que los órganos jurisdiccionales deben sujetarse para poder, en aplicación de la jurisprudencia del Tribunal de Justicia, exonerarse de plantear cuestión prejudicialcon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Esa temática ostenta una clara relevancia pues, conforme así se afirma en la STC 232/2015, dejar de aplicar una ley interna sin previamente plantear cuestión prejudicial ante el Tribunal de Justicia,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la demanda de amparo se aduce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estima que lo que en esta sede debe resolverse no atañe al eventual acierto del órgano judicial al resolver el litigio, pues lo verdaderamente primordial consiste en delimitar cuál es el alcance de las facultades que esos órganos ostentan y la amplitud del margen de interpretación del que disponen para inaplicar directamente una norma interna con rango de ley, por considerarla contraria al Derecho europeo, sin plantear previamente cuestión prejudicial ante el Tribunal de Justicia de la Unión Europea. Según el demandante, lo novedoso del caso reside en que, al entender aplicable al presente supuesto la doctrina del “acto aclarado”, la decisión del órgano judicial ha supuesto el apartamiento de una norma con rango de ley de aplicación al caso, de manera que el citado órgano se ha convertido en un “legislador negativo”, cuyas facultades de valoración resultan sumamente trascendentes desde la perspectiva del derecho garantizado por el art. 24 CE. Insiste en que, sobre este aspecto o cuestión, aún no se ha fijado de manera definitiva doctrina por parte del Tribunal Constitucional y la solución que propone es que, en esta sede, se acoten restrictivamente las facultades interpretativas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demanda se refiere exclusivamente a las sentencias del propio Tribunal Supremo a las que se remite la impugnada en este recurso de amparo. En primer lugar, sintetiza las razones dadas por el órgano judicial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referida cuestión prejudicial es meramente apodíctica y, por tanto, incurre en manifiesta falta de motivación que lesiona el derecho a la tutela judicial efectiva. Y ello, porque el órgano judicial considera que el contenido de la sentencia del Tribunal de Justicia de la Unión Europea de 7 de septiembre de 2016 (asunto Anode), reproducido literalmente en alguno de sus párrafos, es trasladable al caso ahora examinado, pero no dice por qué razón lo es ni expone cuáles son esos criterios que resultan aplicables al presente caso, por lo que no se acierta a ver cuál es la semejanza con los considerandos de la sentencia del Tribunal de Justicia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combatida en esta sede aplica la doctrina del “acto aclarado” para justificar la falta de planteamiento de la cuestión prejudicial, pero estima que el criterio seguido es erróneo, pues no concurren las características o circunstancias que, conforme a la jurisprudencia consolidada del Tribunal de Justicia de la Unión Europea, determinan que resulte innecesaria la formulación de la cuestión prejudicial. Afirma que, ni puede imponerse con tal evidencia la similitud entre dichos asuntos, de manera que no quepa albergar duda razonable sobre la solución de la cuestión, ni tampoco la cuestión suscitada es materialmente idéntica a otra anterior que hubiera sido objeto de una decisión prejudicial. Considera que el Tribunal Supremo sustenta la aplicación al caso de la doctrina del “acto aclarado” en las sentencias recaídas en los asuntos Federutility y Anode, que según su criterio constituyen supuestos análogos que, conforme a la “doctrina Cilfit”, justifican la inaplicación del art. 45.4 de la LSE. Sin embargo, respecto de la STJUE de 20 de abril de 2010 —asunto Federutility—, indica que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por el contrario,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administración, esta cuestión no puede estimarse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STJUE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éstos se refieren a la protección de los consumidores vulnerables, aspecto este que es completamente ajeno a la determinación de los componentes del precio del gas en aquel caso. Al margen de lo expuesto, tampoco cabe entender que las consideraciones que se formulan en el parágrafo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establecidas,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invoca algunos de los argumentos que figuran en el voto particular formulado por el magistrado disidente; en síntesis, que concurren diferencias sustanciales entre el caso resuelto por el Tribunal de Justicia de la Unión Europea y los presupuestos fácticos y jurídicos examinados en el recurso contencioso-administrativo tramitado por el Tribunal Supremo, por lo que no resulta aplicable la doctrina del “acto aclarado” a fin de eludir el planteamiento de la cuestión prejudicial. También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de la Unión Europea; y iii) el juez nacional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julio de 2018, la sección tercera de este Tribunal acordó la admisión a trámite de la demanda de amparo presentada, al apreciar que concurre en el mismo una especial trascendencia constitucional (art. 50.1 LOTC), ya que el recurso plantea un problema o afecta a una faceta de un derecho fundamental sobre el que no hay doctrina de este Tribunal [STC 155/2009, FJ 2, a)]. En aplicación de lo dispuesto en el art. 51 de la Ley Orgánica del Tribunal Constitucional (LOTC), se acordó remitir atenta comunicación a la Sección Tercera de la Sala de lo Contencioso-Administrativo del Tribunal Supremo a fin de que, en plazo que no exceda de diez días, remitiera certificación o fotocopia adverada de las actuaciones correspondientes al recurso de casación núm. 3312-2015. Asimismo se resolvió dirigir atenta comunicación a la Sección Cuarta de la Sala de lo Contencioso-Administrativo de la Audiencia Nacional, para que, en el mismo plazo, remitiese certificación o fotocopia adverada de las actuaciones correspondientes al recurso contencioso-administrativo núm. 179-2014 y, a su vez,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fecha 14 de septiembre de 2018, la entidad Productora Eléctrica Urgelense, S.A., representada por la procuradora de tribunales doña Cecilia Díaz-Caneja Rodríguez y asistida por la letrada doña Irene Bartol Mir, interesó que se la tuviera por personada y parte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tercera de este Tribunal, de fecha 19 de septiembre de 2018, se tuvo por personado y parte en el procedimiento a la procuradora de tribunales doña Cecilia Díaz-Caneja Rodríguez, en nombre y representación de la entidad Productora Eléctrica Urgelense, S.A. Asimismo, con arreglo a lo dispuesto en el art. 52 LOTC, se acordó conceder traslado a las partes personadas y al ministerio fiscal para que, por plazo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sus alegaciones el día 17 de octubre de 2018. Tras detallar los antecedentes de los que trae causa el presente recurso de amparo, afirma que el mismo presenta grandes similitudes con núms. 593, 595, 596, 597, todos de 2017, y 1158 y 1342 de 2018. Por ello, advierte que las alegaciones que formula son sustancialmente coincidentes con las ya expuestas en los referidos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el contenido del escrito de demanda, señala que la Administración General del Estado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pone de relieve que el recurso de amparo no ha perdido su objeto por el hecho de que una norma legal posterior, el Real Decreto-ley 7/2016, de 23 diciembre, haya modificado la redacción del art 45.4 LSE 24/2013, cambiando el régimen de financiación del bono social. Y ello, porque la norma controvertida sigue siendo de aplicación en el proceso de origen, puesto que la sentencia impugnada declaró inaplicable el art. 45.4 LSE y, consecuentemente, anuló la Orden IET/350/2014 porque desarrolla el régimen de financiación establecido por el citado precepto legal. Por ello, la Administración del Estado fue condenada a restituir a la entidad demandante las cantidades que esta satisfizo de conformidad con las normas anuladas, razón por la cual las citadas disposiciones siguen produciendo efectos entre las partes del proceso del que trae causa el presente recurso de amparo. En apoyo de lo expuesto, trae a colación la STC 167/2016, en cuyo FJ 2 se descarta la pérdida de objeto del proceso constitucional, al afirmar que no afecta a la pervivencia de ese objeto el hecho de que ya no estuviera en vigor el régimen de la financiación de los planes de ahorro energético que la disposición adicional tercera del Real Decreto-ley 14/2010 contemplaba, puesto que la citada disposición adicional sí era aplicable en el proceso a quo y de su validez dependía la decisión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ministerio fiscal pasa a explicar el mecanismo del bono social que, según refiere,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Decreto-Ley 6/2009, de 30 de abril, por el que se adoptaron determinadas medidas en el sector energético y se aprobó el bono social, que en su preámbulo reflejaba el objeto al que respondía esa medida, y que en el art. 2.5 y la disposición transitoria segunda establecían su régimen de financiación. Esas disposiciones, recuerda el ministerio público, fueron enjuiciadas en la sentencia de la Sala Tercera del Tribunal Supremo de 7 de febrero de 2012, que apreció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los de la Orden ITC 1723/2009, de desarrollo de aquel, sin plantear cuestión prejudicial ante el Tribunal de Justicia de la Unión Europea, por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indica que la regulación posterior del bono social se prevé en el artículo 45.4 de la Ley 24/2013, de 26 de diciembre, del sector eléctrico, más tarde modificada por el Real Decreto-ley 7/2016. Afirma el ministerio fiscal que esta disposición se corresponde con las previsiones del Real Decreto-ley 6/2009, pues prevé que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advierte que las sentencias del Tribunal Supremo ya mencionadas, cuya doctrina ha sido aplicada en la controversia judicial que da lugar al presente recurso de amparo, consideran que los criterios reflejados en la exposición de motivos del Real Decreto-ley 9/2013 no justifican el sistema de financiación del bono social que, en síntesis, corre a cargo de las sociedades que realizan simultáneamente las actividades de generación, distribución y comercialización en el sector eléctrico. Tampoco, según la referidas sentencias, aparece debidamente argumentado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del Tratado de funcionamiento de la Unión Europea. Ahora bien, lo expuesto no significa que las decisiones judiciales sobre ese particular estén exentas de cualquier control de constitucionalidad pues, por el contrario, están sujetas al canon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de lo expuesto trae a colación la STC 232/2015, de 5 de noviembre,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 Y añade que 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caso Dhabi contra Italia, también pone de manifiesto, en relación con el derecho al proceso debido reconocido en el art 6.1 del Convenio Europeo de Derechos Humanos, que los órganos judiciales nacionales han de justificar, de acuerdo con la doctrina del Tribunal de Justicia de la Unión Europea, los supuestos por los que deciden no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a continuación, que,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propia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de la Unión Europea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Cilfit sobre los supuestos de dispensa del planteamiento de la cuestión prejudicial, el ministerio fiscal compendia la argumentación judicial dada en las sentencias a favor de omitir la cuestión prejudicial. Sobre ese particular, pone de relieve que, en el fundamento jurídico 8 de las sentencias a las que se remite la recurrida, se afirma que, en la sentencia de 7 de febrero de 2012, el Tribunal Supremo ya resolvió que no era necesario plantear dicha cuestión respecto de la correcta aplicación del art. 3.2 de la Directiva 2003/54/CE, sobre normas comunes para el mercado interior de la electricidad, puesto que ya existía una decisión prejudicial al respecto; particularmente, la sentencia del Tribunal de Justicia de la Unión Europea de 20 de abril 2010 recaída en el asunto Federutility, que la referida resolución estimó como “acto aclarado”. En relación con el presente supuesto, el órgano judicial también considera que existen decisiones prejudiciales del Tribunal de Justicia en casos análogos; en concreto, la ya citada STJUE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fija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Según manifiesta, el citado Tribunal se ha limitado a expresar una declaración de voluntad, que es la de estimar que la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entender que pueden ser aplicables, para resolver la cuestión controvertida, unas decisiones prejudiciales del Tribunal de Justicia que se pronuncian sobre la interpretación de la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el caso que aquí nos ocupa versa sobre una norma que regula el régimen de financiación por parte del sector eléctrico, en relación con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ministerio fiscal entiende que no se ha apreciado correctamente la doctrina del “acto aclarado”, pues el objeto de la decisión prejudicial que fue resuelta por el Tribunal de Justicia de la Unión Europea (caso Anode) no puede ser considerado idéntico o análogo al actual; que se trata de directivas distintas, cuya aplicación se proyecta sobre los mercados interiores de dos productos energéticos diferentes (gas y energía); y que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afirmado sobre la falta de explicación de las razones por las que concurren los requisitos del “acto aclarado”, el ministerio fiscal reitera que el tribunal a quo tampoco ha apreciado correctamente la doctrina del “acto aclarado”.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También incide a favor de esas dudas la existencia de un voto particular en las sentencias dictadas por la Sección Tercera de la Sala de lo Contencioso-Administrativo del Tribunal Supremo en las que se funda la sentencia impugnada en esta sede, amén del dictamen del Consejo de Estado relativo al proyecto de orden por el que se desarrolla la metodología para la fijación de los porcentajes de reparto de las cantidades a financiar respecto del bono social. En ese dictamen, dicho órgano consultivo manifestó que el régimen de financiación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y eludir indebidamente el mecanismo de control. Ello lleva a la fiscalía a interesar una sentencia estimatoria del amparo solicitado, que anule las resoluciones impugnadas, con retroacción de actuaciones, al objeto de que por la Sala Tercera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23 de octubre del 2018 presentó sus alegaciones la entidad Productora Eléctrica Urgelense, S.A. En primer lugar identifica el objeto del presente recurso de amparo y la pretensión impugnatoria ejercida de adverso, amén de señalar que el Tribunal Supremo se ha basado en anteriores pronunciamientos, entre ellos la sentencia de 24 de octubre de 2016 dictada en el recurso contencioso-administrativo núm. 960-2014.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interesa que el recurso se inadmita por falta de especial transcendencia constitucional. Al respecto alega que la especial transcendencia aducida por la abogacía del Estado no es más que una mera reiteración de la lesión invocada y, además, que el Tribunal Constitucional ya se ha pronunciado en reiteradas ocasiones sobre la vulneración constitucional derivada del no planteamiento de una cuestión prejudicial por los tribunales ordinarios. Tras reflejar la alegación dada por la administración recurrente, sostiene a continuación que la justificación de la especial transcendencia constitucional requiere de una argumentación específica y autónoma respecto de la que se ofrece para justificar la lesión, lo que la demandante no ha cumplido. Por otro lado, considera que sobre la temática referida al planteamiento de cuestiones prejudiciales ante el Tribunal de Justicia de la Unión Europea existe una consolidada doctrina de este Tribunal, expuesta entre otras en las SSTC 78/2010, 145/2012 y 232/2015, cuyo contenido sintetiza. De todo ello colige que en el presente recurso no concurre ninguno de los supuestos de especial transcendencia constitucional enunciados en el fundamento jurídico segundo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las vulneraciones denunciadas, la referida entidad interesa la desestimación del recurso, pues considera que las resoluciones impugnadas no han vulnerado el derecho a la tutela judicial efectiva ni el derecho a un proceso con todas las garantías. En primer lugar sostiene que la sentencia dictada por el tribunal a quo está suficientemente motivada, pues en su fundamentación jurídica se reflejan los elementos que han llevado al Tribunal Supremo a concluir que resulta innecesario plantear cuestión prejudicial con base en la existencia de un “acto aclarado” A ello añade que la simple discrepancia de las partes no puede ser invocada como fundamento de una pretendida falta de motivación de la resolución citada. En ese sentido, entiende que la administración confunde el concepto de “acto claro” y el de “acto aclarado”, ya que este último concurre cuando el Tribunal de Justicia de la Unión Europea ya se ha pronunciado sobre una cuestión materialmente idéntica a otra que haya sido objeto de una decisión prejudicial en un caso análogo. Y esto es lo que sucede en el presente caso, pues las sentencias dictadas en los asuntos Federutility y Anode habían precisado los requisitos para considerar que una obligación de servicio público es discriminatoria. En este sentido, lleva a cabo un análisis de los aspectos que considera más relevantes de la sentencia dictada en el asunto Anode, para concluir que el supuesto que ha dado origen al presente recurso de amparo presenta una identidad sustancial con el enjuiciado por el Tribunal de Justicia de la Unión Europea, de suerte que la conculcación de los principios de proporcionalidad y no discriminación apreciados por el Tribunal Supremo, por parte de la normativa nacional inaplicada por dicho órgano judicial, no vulnera los derechos fundamentales invocados por la demandante. En suma, la decisión del Tribunal Supremo está suficientemente motivada y adecuadamente fundada en Derecho, por lo que, en el fondo, lo planteado por la administración no es más que es una simple discrepancia con lo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30 de mayo del 2019, se señaló para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sentencia dictada por la Sección Tercera de la Sala de lo Contencioso-Administrativo del Tribunal Supremo, en fecha 12 de diciembre de 2017, en el recurso de casación núm. 3362-2015; y contra el auto de 1 de febrero de 2018, de la misma Sala y Sección, que desestimó el incidente de nulidad de actuaciones promovido por la recurrente frente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son sustancialmente coincidentes con los que ya han sido abordados por el Pleno del Tribunal Constitucional en nuestra reciente STC 37/2019, de 26 de marzo (recurso de amparo núm. 593/2017), a cuyos fundamentos debemos remitirnos. En consecuencia, procede desestimar la alegación de que el recurso carece de especial transcendencia constitucional [STC 37/2019, FJ 3 b)] y debemos dar por reproducidos los fundamentos jurídicos 4 a 6. En ellos, tras exponer la doctrina constitucional sobre el planteamiento de la cuestión prejudicial y examinar el pronunciamiento de la Sala Tercera del Tribunal Supremo, consideramos vulnerado el derecho a un proceso con todas las garantías (art. 24.2 CE), debido a la ausencia de los presupuestos necesarios para apreciar que concurriera un “acto aclarado” que le eximiera de la obligación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estimar el recurso de amparo por vulneración del derecho a un proceso con todas las garantías (art. 24.2 CE) y declarar la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Sección Tercera de la Sala de lo Contencioso-Administrativo del Tribunal Supremo de 12 de diciembre de 2017, recaída en el recurso de casación núm. 3362-2015, y el auto de 1 de febrero del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la sentencia, para que el indicado órgano judicial dicte nueva resolución que sea respetuosa con el derecho fundamental vulnerado, en los términos expresados en el fundamento jurídico único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