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 la Segunda del Tribunal Constitucional compuesta por la magistrada doña Encarnación Roca Trías, presidenta y el magistrado don Juan Antonio Xiol Ríos en el recurso de amparo núm. 515-2019 promovido por don Octavio Uña Juárez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515-2019 se impugnan las siguientes resoluciones: sentencia de fecha 7 de abril de 2017, dictada por el Juzgado de la Penal núm. 3 de Móstoles, en cuya virtud el referido demandante fue condenado como autor de sendos delitos de prevaricación administrativa y desobediencia; sentencia de fecha 30 de noviembre de 2018, dictada por la Sección Decimoquinta de la Audiencia Provincial de Madrid que confirma el fallo de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fecha 25 de junio del 2019, el magistrado don Pedro González-Trevijano Sánchez comunicó, a los efectos oportunos, que se abstenía de intervenir en el indicado recurso de amparo, de conformidad con el art. 80 de la Ley Orgánica del Tribunal Constitucional, por concurrir las causas de abstención previstas en los núms. 12 y 13 del art. 219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Pedro González-Trevijano Sánchez, magistrado de esta Sección Tercera del Tribunal Constitucional, la referida Sección, conforme a lo previsto en los núms. 12 y 13 del art. 219 de la Ley Orgánica del Poder Judicial, supletoria de la Ley Orgánica del Tribunal Constitucional, en virtud de lo establecido en su art. 80, estima justificada las causas de abstención formuladas.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Pedro González-Trevijano Sánchez en el recurso de amparo núm. 515-2019,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