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15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Alfredo Montoya Melgar, don Cándido Conde-Pumpido Tourón y la magistrada doña María Luisa Balaguer Callejón, en el recurso de amparo núm. 5543-2018, promovido por Penrei Inversiones,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25 octubre de 2018,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3 de Lorca en el procedimiento de ejecución hipotecaria núm. 93-2018 en fechas 3 de julio y 14 de septiembre de 2018 por los que, respectivamente, se inadmite por extemporánea la oposición a la ejecución hipotecaria y se confirma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3 de Lorca se sigue procedimiento de ejecución hipotecaria núm. 93-2018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11 de abril de 2018, aclarado por otro de 2 de mayo de 2018, se acordó despachar ejecución frente las sociedades demandadas. El citado auto y el decreto de la misma fecha que le sigue fueron comunicados a las citadas entidades a través de la sede judicial electrónica el día 4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Penrei Inversiones, S.L., presentó escrito de oposición a la ejecución despachada con fecha 29 de junio de 2018. Por auto de 3 de julio de 2018 se acordó su inadmisión por presentación extemporánea, tomando como fecha de notificación el 4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4 de mayo de 2018 sino el 19 de junio de 2018 y que la comunicación remitida a través de la dirección electrónica habilitada no puede entenderse más que un aviso de puesta a disposición o descarga de su contenido durante un plazo determinado (en el caso desde el 4 mayo al 19 de junio de 2018) y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fue desestimado por auto de 14 de septiembre de 2018.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si bien “es cierto que la notificación por medios electrónicos efectivamente se realiza cuando el destinatario accede a su contenido”, la recurrente “yerra en el plazo en el que puede acceder a [dicho] contenido a efectos de la práctica de la notificación el cual es de diez días naturales desde la puesta a su disposición y ello por imperativo del artículo 43.2 de la citada Ley” 39/2015, de 1 de octubre, del procedimiento administrativo común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recibido una notificación del órgano emisor juzgados y tribunales (SGAJ) en la Dirección electrónica habilitada del titular Penrei Inversiones, S.L. — NIF B73836173.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estará disponible en su Dirección electrónica habilitada única desde el 04 de mayo de 2018 hasta el 19 de junio de 2018. Si no procediera a su lectura en el plazo indicado se producirán los efectos correspondientes, según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conste como leída, por favor acceda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http://notificaciones060.es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Asunto: ‘JDO. 1 INST. E INSTR. N 3 DE LORCA EHJ/00000093/2018’”.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mayo de 2019 la Sección Primera de este Tribunal acordó admitir a trámite el recurso de amparo y dirigir comunicación al Juzgado de Primera Instancia e Instrucción núm. 3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27 de mayo de 2019, la parte demandante formuló sus alegaciones, reiterando lo dicho en el otro 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3 de junio de 2019, interesa que se acuerde la anotación preventiva de la demanda en el registro de la propiedad, aunque esta última medida no haya sido solicitada en el recurso de amparo. Tras exponer la doctrina de este Tribunal sobre suspensión de resoluciones y actos impugnados, aduce que en el presente caso la suspensión no aparece muy fundamentada por la propia parte recurrente, resultando más eficaz la anotación preventiva de la demanda en el registro de la propiedad mediante la que se evitaría que un hipotético tercer adquirente del inmueble hipotecado quede especialmente 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21 de junio de 2019 se acordó, conforme a lo dispuesto en el art. 56 LOTC, dar audiencia por tres días a Banco de Sabadell, S.A., representado por la procuradora doña Blanca María Grande Pesquero, por haberse personado en las actuaciones principales. Esta parte ha presentado escrito en que solicita la denegación de la suspensión ya que, a su juicio, la demandante de amparo no ha acreditado ningún tipo de perjuicio que pueda considerarse irreparable.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93-2018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el procedimiento se encuentra pendiente de la celebración de la subasta y que el inmueble sobre el que se sigue la ejecución está constituido por una plaza de aparcamiento de vehículos, de modo que no sirve de vivienda ni de soporte de una actividad comercial explotada por la entidad demandante o terceros. En tales circunstancias, no es posible afirmar que la continuación del curso del procedimiento judicial, incluso con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2/2019, de 9 de enero; 88/2018, de 17 de septiembre, y 106/2017,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93-2018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