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1584-2019,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marzo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66-2018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abril de 2018 se acordó despachar ejecución frente las sociedades demandadas. El citado auto y el decreto de la misma fecha que le sigue fueron comunicados a las citadas entidades a través de la sede judicial electrónica el día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28 de agosto de 2018. Por auto de 19 de septiembre de 2018 se acordó su inadmisión por presentación extemporánea, tomando como fecha de notificación el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21 de junio de 2018 sino el 6 de agosto de 2018, y que la comunicación remitida a través de la dirección electrónica habilitada no podía entenderse más que un aviso de puesta a disposición o descarga de su contenido durante un plazo determinado (en el caso desde el 21 de junio al 06 de agosto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22 de enero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33.2 y 34 de la Ley 18/2011, de 5 de julio, reguladora del uso de las tecnologías de la información y la comunicación en la Administración de Justicia y en el art. 11.2 del Real Decreto 1065/2015, de 27 de noviembre sobre comunicaciones electrónicas en la Administración de Justicia en el ámbito territorial del Ministerio de Justicia y por el que se regula el sistema LexNET. Según el Auto, “en el presente caso, consta que la notificación se puso a disposición de las recurrentes en fecha 21 de junio de 2018 no accediendo al contenido hasta el día 27 de julio de 2018 (fuera de los tres días que establece la normativa procesal), presentando los escritos de oposición a la ejecución en fecha 27-08-18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 Inversiones Inmobiliarias Costa Sur S.L., — NIFB73258006.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21 de junio de 2018 hasta el 06 de agosto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6 DE LORCA EJH/0000066/2018”.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20 de junio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66-2018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medida suficiente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66-2018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