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100</w:t>
      </w:r>
      <w:r w:rsidRPr="008B7AB5" w:rsidR="008B7AB5">
        <w:rPr>
          <w:b/>
          <w:szCs w:val="24"/>
          <w:lang w:val="es-ES_tradnl"/>
        </w:rPr>
        <w:t>/</w:t>
      </w:r>
      <w:r>
        <w:rPr xmlns:w="http://schemas.openxmlformats.org/wordprocessingml/2006/main">
          <w:b/>
          <w:szCs w:val="24"/>
        </w:rPr>
        <w:t>2019</w:t>
      </w:r>
      <w:r w:rsidRPr="008B7AB5" w:rsidR="008B7AB5">
        <w:rPr>
          <w:b/>
        </w:rPr>
        <w:t xml:space="preserve">, </w:t>
      </w:r>
      <w:r>
        <w:rPr xmlns:w="http://schemas.openxmlformats.org/wordprocessingml/2006/main">
          <w:b/>
          <w:szCs w:val="24"/>
        </w:rPr>
        <w:t>de 16 de septiembre de 2019</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Segunda del Tribunal Constitucional compuesta por la magistrada doña Encarnación Roca Trías, presidenta y los magistrados don Fernando Valdés Dal-Ré, don Juan Antonio Xiol Ríos, don Pedro José González-Trevijano Sánchez, don Antonio Narváez Rodríguez y don Ricardo Enríquez Sancho, en el recurso de amparo núm. 5377-2018, promovido por Euroinversiones Inmobiliarias Costa Sur, S.L.,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16 de octubre de 2018, tuvo entrada en el registro general de este Tribunal Constitucional un escrito de la procuradora doña Blanca Berriatua Horta, en representación de la entidad Euroinversiones Inmobiliarias Costa Sur, S.L., por el que interpuso recurso de amparo contra el auto de 28 de junio de 2018 del Juzgado de Primera Instancia e Instrucción núm. 3 de Lorca, que inadmitió el escrito de oposición a la ejecución hipotecaria promovida por Banco de Sabadell, S.A., y contra el auto del mismo juzgado de 29 de agosto de 2018, que desestimó el recurso de reposición interpuesto contra la anterior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la resolución de esta pieza de suspensión,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Con fecha 28 de junio de 2018, el juzgado de primera instancia e instrucción ya indicado dictó un auto en el procedimiento de ejecución hipotecaria núm. 111-2018 por el que acordó: “Inadmitir a trámite la oposición formulada por la parte ejecutada Euro Inversiones Inmobiliarias Costa Sur, S.L.”, advirtiendo en pie de recurso que contra dicha resolución cabía recurso de reposición.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juzgado basó su decisión, conforme a su fundamento de Derecho único, en lo siguiente: “Se establece en el artículo 134 de la Ley de enjuiciamiento civil (LEC), la improrrogabilidad de los plazos establecidos en la misma, y en el artículo 136 LEC, que transcurrido o pasado el término señalado para la realización de un acto procesal de parte se producirá la preclusión y se perderá la oportunidad de realizar el acto de que se trate, y previniéndose en el artículo 695 LEC, que el escrito de oposición a la ejecución deberá ser presentado dentro de los diez días siguientes al de la notificación del auto y decreto por el que se despacha ejecución y/o de la medida concreta de ejecución, y constando en el presente supuesto que la parte ejecutada se ha opuesto pasado que ha sido el plazo que legalmente se le otorga, debe ser inadmitida su oposición por extemporánea, de conformidad con lo establecido en los preceptos citados”.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Formalizado contra dicho auto recurso de reposición por la entidad aquí demandante de amparo, el juzgado a quo dictó auto el 29 de agosto de 2018 desestimándolo, con confirmación de la resolución recurrida, en virtud de los motivos expresados en su razonamiento jurídico segundo: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siendo indiscutible la condición de personas jurídicas de las recurrentes, las mismas desde el 1 de enero de 2017 (Disposición Transitoria Cuarta de la Ley 42/2015, de 5 de octubre, de reforma de la LEC) están obligadas a relacionarse con la Administración de Justicia por medios electrónicos (art. 14. 2 a) de la Ley 39/2015 LPAAP y art. 273. 3 a) de la LEC).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Interpretan las recurrentes de forma errónea la normativa aplicable. Es cierto que la notificación por medios electrónicos efectivamente se realiza cuando el destinatario accede a su contenido. Ahora bien, hierran [sic] en el plazo en el que puede acceder a su contenido a efectos de la práctica de la notificación, el cual es de 10 días naturales desde la puesta a su disposición y ello por imperativo de la [sic] art. 43 de la citada LPACAP (ley 30/15). Así dice el artículo 43. 2 de la citada Ley que ‘Las notificaciones por medios electrónicos se entenderán practicadas en el momento en que se produzca el acceso a su contenido. Cuando la notificación por medios electrónicos sea de carácter obligatorio, o haya sido expresamente elegida por el interesado, se entenderá rechazada cuando hayan transcurrido diez días naturales desde la puesta a disposición de la notificación sin que se acceda a su contenido.’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consta que la notificación se puso a disposición de las recurrentes en fecha 23 de abril de 2018 no accediendo al contenido hasta el día 8 de junio (fuera de los diez días naturales), presentando los escritos de oposición a la ejecución en fecha 25 de junio claramente fuera del plazo legalmente establecido en el art. 556. 1 LEC (dentro de los 10 días siguientes al de la notificación del auto despachando ejecución,) y siendo que conforme al art. 136 LEC transcurrido o pasado el término señalado para la realización de un acto procesal de parte se producirá la preclusión y se perderá la oportunidad de realizar el acto de que se trate, es claro que dichas oposiciones son extemporáneas siendo la consecuencia legal la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auto traía el siguiente pie de recurso: “Notifíquese esta resolución a las partes personadas, haciéndoles saber que es firme, y contra la misma no cabe recurso alguno”.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alega que las resoluciones judiciales impugnadas causan la vulneración de los derechos a la tutela judicial efectiva (art. 24.1 CE) y a un proceso con todas las garantías (art. 24.2 CE) de la entidad recurrente, al haberse efectuado su emplazamiento como ejecutada en el procedimiento hipotecario de referencia, a través de un correo electrónico remitido por un servicio de notificaciones electrónicas, tratándose de su primer emplazamiento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reconoce que si bien la recurrente, por ser una persona jurídica, viene por ello obligada a relacionarse con la administración de justicia a través de medios electrónicos, no obstante cuando es el primer emplazamiento y por tanto todavía aquélla “no ha tenido ninguna relación con el juzgado correspondiente en este especial y concreto procedimiento”, ha de practicarse mediante cédula con entrega en papel de la documentación correspondiente, conforme establece el art. 273 LEC, en relación con los arts. 135, 152, 162 y 155 LEC. Este último, precisa, “es categórico al respecto ya que en su punto primero nos indica que cuando las partes no actúen representadas por procurador o se trate del primer emplazamiento o citación al demandado, los actos de comunicación se harán por remisión al domicilio de los litigantes”. Añade que incluso la notificación realizada tampoco cumple con las formalidades de las comunicaciones electrónicas. Pese a todo esto, el auto dictado por el juzgado el 28 de junio de 2018 declaró extemporánea la presentación del escrito de oposición, computando el plazo de diez días desde la fecha de envío de aquel correo a través de la dirección electrónica habilitada.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Sobre el auto del 29 de agosto siguiente que desestimó la reposición, se rechaza por la recurrente que haya fundamentado su decisión en la Ley de procedimiento administrativo común, “que consideramos inaplicable al ámbito procesal civil, puesto que además de existir normas concretas al respecto, no se dan en uno y otro ámbito las mismas garantías procedimentales”; siendo que en materia de notificación de actos procesales existe su propia normativa tanto en la Ley de enjuiciamiento civil —los arículos arriba citados—, como en el haz de garantías del propio art. 24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se solicita que este Tribunal Constitucional, con estimación del amparo, acuerde la nulidad de ambas resoluciones judiciales y ordene reponer las actuaciones al momento previo al dictado de la primera de aquéllas, a fin de que el juzgado a quo admita a trámite la oposición al despacho de ejecución formulada.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medio de un “segundo otrosí digo”, el escrito de demanda argumentó “que la continuación de la ejecución derivadas [sic] de los pronunciamientos judiciales que han sido objeto de impugnación, con la celebración de subasta y la eventual adjudicación a terceros, pueden hacer perder al recurso de amparo si finalidad, por lo que solicito la suspensión de la continuación del procedimiento de ejecución hipotecaria 111-2018 seguido ante el Juzgado de Primer Instancia e Instrucción núm. 3 de Lorca, hasta tanto sea resuelto el presente recurso de amparo, poniéndolo en conocimiento del órgano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Sala Segunda, Sección Cuarta, de este Tribunal Constitucional, dictó providencia el 17 de junio de 2019 del siguiente tenor: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Sección Cuarta ha examinado el recurso de amparo y ha acordado admitirlo a trámite, apreciando que concurre en el mismo una especial trascendencia constitucional (art. 50.1 de la Ley Orgánica del Tribunal Constitucional: LOTC) porque el recurso plantea un problema o afecta a una faceta de un derecho fundamental sobre el que no hay doctrina de este Tribunal [STC 155/2009, FJ 2 a)], así como que el recurso puede dar ocasión al Tribunal para aclarar o cambiar su doctrina, como consecuencia de cambios normativos relevantes para la configuración del contenido del derecho fundamental [STC 155/2009, FJ 2 b)].</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ello, en aplicación de lo dispuesto en el art. 51 LOTC, diríjase atenta comunicación al Juzgado de Primera Instancia e Instrucción núm. 3 de Lorca a fin de que, en plazo que no exceda de diez días, remita certificación o fotocopia adverada de las actuaciones correspondientes al procedimiento de ejecución hipotecaria núm. 111-2018; debiendo previamente emplazarse, para que en el plazo de diez días puedan comparecer, si lo desean, en el recurso de amparo a quienes hubieran sido parte en el procedimiento, excepto la parte recurrente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conformidad con la solicitud de la parte actora, fórmese la correspondiente pieza separada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nueva providencia dictada por la Sección Cuarta de este Tribunal en la misma fecha de la admisión del recurso, el 17 de junio de 2019, se dispuso “formar con la precedente fotocopia, la oportuna pieza para la tramitación del incidente sobre suspensión y conforme determina el artículo 56 de la Ley Orgánica de este Tribunal, conceder un plazo común de tres días a la parte recurrente y al Ministerio Fiscal para que aleguen lo que estimen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procesal de la entidad recurrente presentó su escrito de alegaciones con fecha 25 de junio de 2019, interesando se acceda a lo solicitado en cuanto a la suspensión del procedimiento de ejecución hipotecaria referido.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tal efecto alega que la continuación de tal procedimiento, “con la celebración de subasta y la eventual adjudicación a terceros harían perder al recurso de amparo su finalidad y provocarían perjuicios patrimoniales para mi representada de imposible o difícil reparación”. Invoca a su favor lo resuelto por este Tribunal en su ATC 287/2013, de 16 de diciembre, reiterando a renglón seguido las vulneraciones constitucionales de fondo que aduce en su demanda, e indicando que el celebrarse la subasta y la posible adjudicación del bien inmueble a terceros de buena fe, con “desposesión del bien ejecutado, conllevaría a situaciones irreversibles, con un inevitable perjuicio para mi representada”.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su parte, el fiscal ante este Tribunal Constitucional formalizó su escrito de alegaciones en esta pieza el 8 de julio de 2019, interesando que adoptemos únicamente la medida de anotación preventiva de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hacer cita del art. 56.2 LOTC y reproducir lo declarado en el ATC 127/2015, de 20 de julio (cita por error 27 de julio), FJ 1, en relación con la necesidad de acreditar por el interesado la existencia de un perjuicio irreparable, para poder acordarse la suspensión de los actos impugnados en amparo, sostiene el fiscal que en el presente caso, la “suspensión solicitada comportaría la paralización del procedimiento ejecutivo que, por su propia naturaleza, goza de las características de celeridad y sumariedad pero, también es obvio que, de continuar el procedimiento este acabará con la subasta del bien hipotecado y con la eventual adjudicación a un tercero de buena fe lo que haría irreversible esa situación aun cuando el amparo solicitado prosperara. Para conseguir el efecto protector deseado por la recurrente y enervar los indeseados efectos de la paralización del procedimiento, se puede acordar la anotación preventiva de la demanda de amparo en el registro de la propiedad, ya que de esta manera se daría publicidad frente a terceros de la pendencia del recurso, lo que conlleva el conocimiento de los efectos que sobre la titularidad de la vivienda puede tener el otorgamiento del amparo en su caso, evitando que el hipotético adquirente queda especialmente protegido por su buena fe en la adquisición”. Cita en apoyo de su petición el art. 56.3 LOTC, que permite al Tribunal adoptar toda medida que evite que el recurso de amparo pueda perder su finalidad, así como el ATC 2/2019, de 9 de enero,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Insiste finalmente en que es procedente la medida de anotación preventiva, pues de lo contrario “la tutela que pudiera otorgarse por este tribunal no sería completa si se deja abierta la posibilidad de que la finca sea transmitida a tercero de buena fe mientras se sustancia y resuelve el presente proceso de amparo, por lo que se interesa” su adopción.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esta pieza de suspensión consiste en determinar la procedencia o no de la medida cautelar instada por la parte recurrente en amparo y dirigida frente al procedimiento de ejecución hipotecaria núm. 111-2018 seguido en el Juzgado de Primera Instancia e Instrucción núm. 3 de Lorca.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56.2 de la Ley Orgánica del Tribunal Constitucional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Esa suspensión, en todo caso, no puede ocasionar ninguna perturbación grave a un interés constitucionalmente protegido, ni a los derechos fundamentales o libertades de otra persona, razón por la que se configura como una medida de carácter excepcional y de aplicación restrictiva (por todos, AATC 117/2015, de 6 de julio, FJ 1, y 59/2017, de 24 de abril,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Adicionalmente, este Tribunal viene exigiendo a quien solicita la adopción de la medida cautelar de suspensión del acto o resolución judicial recurrido que alegue, pruebe o justifique, ofreciendo un principio razonable de prueba, el carácter no reparable o la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90/2014, de 27 de marzo, FJ 1; 190/2015, de 5 de noviembre, FJ 2 a); 59/2017, de 24 de abril, FJ 1, y 147/2017, de 13 de noviembre,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Interesa subrayar que una consolidada doctrina constitucional, de la que son buena muestra, entre otros muchos, los AATC 220/2008, de 14 de julio, FJ 2, y 64/2009, de 23 de febrero, FJ 2, o los más recientes AATC 56/2013, de 25 de febrero, FJ 2; 74/2013, de 8 de abril, FJ 2; 152/2013, de 8 de julio, FJ 2; 37/2014, de 10 de febrero, FJ 2; 282/2014, de 17 de noviembre, FJ 3, y 59/2015, de 16 de marzo, FJ 2,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aquéllos, con la consiguiente consolidación de una posición jurídicamente inatacable o de muy difícil y costoso restablecimiento”.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aplicación al caso aquí planteado de la doctrina de la que se ha hecho mención permite concluir, de acuerdo con el fiscal, que resulta improcedente la suspensión solicitada y, por el contrario, aparece como medida idónea la anotación preventiva de la demanda de amparo en el registro de la propiedad.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parte recurrente se limita a poner de manifiesto, genéricamente, que la eventual adjudicación a terceros puede hacer perder al recurso de amparo su finalidad, sin añadir indicación alguna sobre la situación y circunstancias de dicha entidad mercantil, como tampoco sobre las características, destino y estado posesorio del inmueble hipotecado. En tales circunstancias, no es posible afirmar que la continuación del curso del procedimiento judicial, incluso con un desplazamiento posesorio, provoque por sí solo un perjuicio determinante de la pérdida de la finalidad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 contrario, el Tribunal entiende que las circunstancias que presenta el supuesto sometido a consideración llevan a estimar la procedencia de acordar, de modo alternativo, la medida cautelar de anotación preventiva de la demanda de amparo en el registro de la propiedad, en cuanto se reputa medida idónea para evitar el perjuicio derivado de que la adquisición del bien por tercero lo hiciera irreivindicable; situación a la que se hace referencia en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 misma ha sido la solución acogida recientemente, entre otros, en los AATC 106/2017, de 17 de julio, FJ 3; 88/2018, de 17 de septiembre, FJ 5, y 2/2019, de 9 de enero, FJ 4, así como en el ATC 85/2019, de 15 de julio, a propósito de otro procedimiento hipotecario seguido ante el mismo Juzgado núm. 3 de Lorca, donde se plantearon los mismos argumentos que aquí para solicitar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Cabe recordar que se trata de una medida cautelar que este Tribunal, de conformidad con el art. 56 de la Ley Orgánica del Tribunal Constitucional, puede adoptar de oficio o a instancia de parte, con fundamento en el art. 42.1 de la Ley hipotecaria, y que, de acuerdo con el ATC 95/2015, de 25 de mayo, FJ 4, “una de cuyas finalidades es que el registro de la propiedad sea fiel trasunto de la realidad jurídica —en este caso, la pendencia del presente proceso constitucional— y, por ende, un eficaz instrumento de seguridad jurídica [ATC 18/2012, de 30 de enero, FJ 4. En la misma línea, AATC 282/2014, de 17 de noviembre, FJ 5; 29/2015, de 16 de febrero, FFJJ 3 y 4; 50/2015, de 2 de marzo, FJ 4, y 59/2015, de 16 de marzo,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Nuestra decisión en esta materia se limita, en tal sentido, “a ordenar que se practique la anotación preventiva, remitiendo al órgano judicial la práctica de las actuaciones pertinentes para que pueda llevarse a efecto la medida, de conformidad con la legislación procesal e hipotecaria (AATC 257/2003, de 14 de julio, 406/2003, de 15 de diciembre, 230/2007, de 7 de mayo, FJ 3; 415/2007, de 5 de noviembre, FJ 4, y 217/2012, de 26 de noviembre, FJ 2)” [AATC 21/2018, de 5 de marzo, FJ 5, y 88/2018, de 17 de septiembre, FJ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Los razonamientos anteriores, de conformidad con la doctrina expuesta, y sin prejuzgar la decisión de fondo del recurso, conducen a denegar la suspensión solicitada, y, alternativamente, a ordenar la anotación preventiva de la demanda de amparo en el registro de la propiedad.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Denegar la suspensión cautelar solicitada del procedimiento de ejecución hipotecaria núm. 111-2018 seguido en el Juzgado de Primera Instancia e Instrucción núm. 3 de Lorca.</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septiembre de dos mil diecinueve.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