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128</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28 de octubre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en el recurso de amparo núm. 1985-2019, promovido por la entidad Euro Inversiones Inmobiliarias Costa Sur,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26 de marzo de 2019, tuvo entrada en el registro general de este Tribunal Constitucional un escrito de la procuradora doña Blanca Berriatua Horta, en representación de la entidad Euro Inversiones Inmobiliarias Costa Sur, S.L., por el que interpuso recurso de amparo contra el auto de 17 de septiembre de 2018, del Juzgado de Primera Instancia e Instrucción núm. 6 de Lorca, que inadmitió el escrito de oposición a la ejecución hipotecaria promovida por Banco de Sabadell, S.A., y contra el auto del mismo juzgado, de 11 de febrero de 2019, que desestimó el recurso de reposición interpuesto contra la anterior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fecha 17 de septiembre de 2018, el Juzgado de Primera Instancia e Instrucción ya indicado dictó un auto en el procedimiento de ejecución hipotecaria núm. 59-2018 por el que acordó: “Inadmitir a trámite la oposición formulada por la parte ejecutada Euro Inversiones Inmobiliarias Costa Sur, S.L., y Penrei Inversiones, S.L.”, advirtiendo en pie de recurso que contra dicha resolución cabía recurso de reposición.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basó su decisión, conforme a su fundamento de Derecho único, en lo siguiente: “Se establece en el artículo 134 de la Ley de enjuiciamiento civil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y previniéndose en el artículo 695 LEC, que el escrito de oposición a la ejecución deberá ser presentado dentro de los diez días siguientes al de la notificación del auto y decreto por el que se despacha ejecución y/o de la medida concreta de ejecución, y constando en el presente supuesto que la parte ejecutada se ha opuesto pasado que ha sido el plazo que legalmente se le otorga, debe ser inadmitida su oposición por extemporánea, de conformidad con lo establecido en los preceptos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Formalizado contra dicho auto recurso de reposición por la entidad aquí demandante de amparo, el juzgado a quo dictó auto el 11 de febrero de 2019 desestimándolo, con confirmación de la resolución recurrida, en virtud de los motivos expresados en su razonamiento jurídico segundo: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“[S]iendo indiscutible la condición de personas jurídicas de las recurrentes, las mismas desde el 1 de enero de 2017 (disposición transitoria cuarta de la Ley 42/2015, de 5 de octubre, de reforma de la Ley de enjuiciamiento civil) están obligadas a relacionarse con la administración de justicia por medios electrónicos [art. 14. 2 a) de la Ley 39/2015 de la Ley de procedimiento administrativo común de las administraciones públicas y art. 273. 3 a) LEC]. Interpretan los recurrentes de forma errónea la normativa aplicable”. Se citan al respecto los arts. 162.2 LEC y 33.2 y 34 de la Ley 18/2011, de 5 de julio, reguladora del uso de las tecnologías de la información y la comunicación en la administración de justicia; el art. 11.2 del Real Decreto 1065/2015, de 27 de noviembre, sobre comunicaciones electrónicas en la administración de justicia en el ámbito territorial del Ministerio de Justicia y por el que se regula el sistema LexNet; y el acuerdo no jurisdiccional del Pleno de la Sala Cuarta del Tribunal Supremo, de 6 de julio de 2016. Tras ello el auto señala: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consta que la notificación se puso a disposición de las recurrentes en fecha 30 de mayo de 2018 no accediendo al contenido hasta el día 15 de julio de 2018 (fuera de los diez días naturales), presentando los escritos de oposición a la ejecución en fecha 24 de julio de 2018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traía el siguiente pie de recurso: “Notifíquese esta resolución a las partes personadas, haciéndoles saber que es firme, y contra la misma no cabe recurso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reconoce que si bien la recurrente, por ser una persona jurídica, viene por ello obligada a relacionarse con la administración de justicia a través de medios electrónicos, no obstante cuando es el primer emplazamiento y por tanto todavía aquella “no ha tenido ninguna relación con el Juzgado correspondiente en este especial y concreto procedimiento”, ha de practicarse mediante cédula con entrega en papel de la documentación correspondiente, conforme establece el art. 273 LEC, en relación con los arts. 135, 152, 162 y 155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dando su interpretación sobre el alcance de las normas aplicables. Cita también las SSTC 326/1993, de 8 de noviembre, y la 131/2014, de 21 de julio, sobre el derecho a no padecer indefensión en materia de actos de comunicación. Concluye diciendo que la omisión correcta del primer emplazamiento le ha supuesto un perjuicio real y efectivo para ejercitar su defensa, por lo que procede declarar la nulidad de los actos posteriores al emplazamiento, debiendo volverse a practicarse este último. Insiste en que se ha producido una vulneración de los derechos fundamentales del art. 24 CE, en concreto el derecho a la defensa y a la asistencia letrada.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el auto del 11 de febrero de 2019 que desestimó la reposición, se rechaza por la recurrente que haya fundamentado su decisión en la ley de procedimiento administrativo común, puesto que en cada uno de los órdenes jurisdiccionales existe una normativa propia en esta materia. Y rechaza que pueda fundarse la inadmisión, como indica el Juzgado, en la interpretación que éste hace de los preceptos que al efecto 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se solicita que este Tribunal Constitucional, con estimación del amparo, acuerde la nulidad de ambas resoluciones judiciales y ordene reponer las actuaciones al momento previo al dictado de la primera de aquéllas, a fin de que el juzgado a quo admita a trámite la oposición al despacho de ejecución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derivadas [sic]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59-2018 seguido ante el Juzgado de Primer Instancia e Instrucción número 6 de Lorca, hasta tanto sea resuelto el presente recurso de amparo, poniéndolo en conocimiento del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Presidente de la Sala Primera de este Tribunal Constitucional adoptó el 6 de mayo de 2019, el acuerdo de conexión entre los recursos de amparo núms. 1984-2018 y 1985-2019, “inicialmente turnados, respectivamente, a la Sala Primera y Segunda de este Tribunal”, dada la conexión objetiva entre ambos, disponiendo que prosiguiera su tramitación conjunta ante la Sala Segunda, “debiendo ser turnados al mismo ponente”.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Cuarta de este Tribunal Constitucional, dictó providencia el 16 de septiembre de 2019 del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Cuarta ha examinado el recurso de amparo y ha acordado admitirlo a trámite, apreciando que concurre en el mismo una especial trascendencia constitucional (art. 50.1 LOTC) toda vez que el recurso puede dar ocasión al Tribunal para aclarar o cambiar su doctrina, como consecuencia de cambios normativos relevantes para la configuración del contenido del derecho fundamental [STC 155/2009,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51 LOTC, diríjase atenta comunicación al Juzgado de Primera Instancia e Instrucción núm. 6 de Lorca a fin de que, en méritos al procedimiento de ejecución hipotecaria núm. 59-2018, proceda a emplazarse, para que en el plazo de diez días puedan comparecer, si lo desean, en el recurso de amparo a quienes hubieran sido parte en el procedimiento, excepto la parte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la solicitud de la parte actora, fórmese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nueva providencia dictada por la Sección Cuarta de este Tribunal en la misma fecha de la admisión del recurso, el 16 de septiembre de 2019,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 la entidad recurrente presentó su escrito de alegaciones con fecha 25 de septiembre de 2019, interesando se acceda a lo solicitado en cuanto a la suspensión del procedimiento de ejecución hipotecaria referido.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tal efecto alega que la continuación de tal procedimiento, “con la celebración de subasta y la eventual adjudicación a terceros o en su caso fuera adjudicada a la propia demandante del procedimiento de ejecución hipotecaria, harían perder al recurso de amparo su finalidad y provocarían perjuicios patrimoniales para mi representada de imposible o difícil reparación”. Invoca a su favor lo resuelto por este Tribunal en su ATC 287/2013, de 16 de diciembre, reiterando a renglón seguido las vulneraciones constitucionales de fondo que aduce en su demanda, e indicando que el celebrarse la subasta y la posible adjudicación del bien inmueble a terceros de buena fe, con “desposesión del bien ejecutado, conllevaría a situaciones irreversibles, con un inevitable perjuicio para mi representada”.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su parte, el fiscal ante este Tribunal Constitucional formalizó su escrito de alegaciones en esta pieza el 30 de septiembre de 2019, interesando que adoptemos únicamente la medida de anotación preventiva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hacer cita del art. 56.1 LOTC, así como de doctrina general de este Tribunal acerca del principio general de no suspensión, el carácter restrictivo de esta medida, y su aplicación solo a los supuestos de perjuicio irreparable, entre los que con carácter general no se hallan las condenas de contenido patrimonial, señala el fiscal que en el presente caso la solicitud de suspensión “no parece muy fundamentada por la propia recurrente, ya que se limita a la mera petición sin explicitar ninguna razón salvo la mera pérdida de finalidad del recurso en el caso de que llegara a celebrarse la subasta de los bienes inmuebles en conflicto y su adjudicación a un tercero que actuaría de buena fe. Acordar la suspensión solicitada comportaría la drástica medida que supondría la paralización del procedimiento ejecutivo, que por su propia naturaleza goza de las características de celeridad y sumariedad. Mucho más eficaz para conseguir el efecto protector deseado por la recurrente sería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tercero adquirente queda especialmente protegido por su buena fe en la adquisición”.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la procedencia de la medida de anotación preventiva es indudable, a tenor del art. 56.3 LOTC y la propia doctrina del Tribunal, con cita del ATC 95/2015, de 25 de mayo, FJ 4. Finalmente reitera que el presente caso no justifica la suspensión del proceso de ejecución solicitada, pero sí la anotación preventiva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59-2018 seguido en el Juzgado de Primera Instancia e Instrucción núm. 6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106/2017, de 17 de julio, FJ 3; 88/2018, de 17 de septiembre, FJ 5, y 2/2019, de 9 de enero, FJ 4; así como en los AATC 85/2019, de 15 de julio, y 91/2019 a 94/2019, todos ellos del 18 de julio; a propósito de otros procedimientos hipotecarios seguidos ante el Juzgado núm. 3 de Lorca, donde se plantearon los mismos argumentos que aquí para solicitar la suspensión por la otra entidad ejecutada.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59-2018 seguido en el Juzgado de Primera Instancia e Instrucción núm. 6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octubre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