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3094-2019, promovido por Penrei Inversiones, S.L., en autos del Juzgado de Primera Instancia e Instrucción núm. 6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mayo de 2019, la entidad Penrei Inversiones, S.L., representada por la procuradora de los tribunales doña Blanca Berriatua Horta y bajo la dirección de la letrada doña Nirmala Anju Benavent Rodríguez, interpuso recurso de amparo contra los autos de 17 de septiembre de 2018 y 4 de abril de 2019, dictados por el Juzgado de Primera Instancia e Instrucción núm. 6 de Lorca, en el procedimiento de ejecución hipotecaria núm. 60-2018, por los que, respectivamente, se inadmite por extemporánea la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60-2018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29 de mayo de 2018 se acordó despachar ejecución frente las sociedades demandadas por la cantidad de 155.233 € de principal y 24.040 € como intereses y costas presupuestados. El citado auto y el decreto de la misma fecha que le sigue fueron comunicados a las citadas sociedades a través de la sede judicial electrónica el día 30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Penrei Inversiones, S.L., presentó escrito de oposición a la ejecución despachada con fecha 24 de julio de 2018. Por auto de 17 de septiembre de 2018 se acordó su inadmisión por considerar la pretensión extemporánea, tomando como fecha de notificación el 30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30 de mayo de 2018 sino el 15 de julio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30 de mayo hasta el 15 de julio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4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30 de mayo de 2018, no accediendo al contenido hasta el día 15 de julio de 2018 (fuera de los tres días que establece la normativa procesal), presentando los escritos de oposición a la ejecución en fecha 24 de julio de 2018, claramente fuera del plazo legalmente establecido en el art. 556.1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4 de octubre de 2019 la parte demandante formuló sus alegaciones, reiterando lo dicho en el otrosí de su demanda y trascribiendo como fundamento de su pretensión lo expresado en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15 de octubre de 2019, se opuso a la pretendida suspensión del procedimiento de ejecución hipotecaria, e interesa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en virtud de su buena fe registral, quede especialmente protegido.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60-2018,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(ATC 81/2019, de 15 de julio),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88/2018, de 17 de septiembre, y 2/2019, de 9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60-2018,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