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155</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25 de noviembre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en el recurso de amparo núm. 1981-2019, promovido por Penrei Inversiones, S.L.,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entidad mercantil Penrei Inversiones, S.L., representada por la procuradora de los tribunales doña Blanca Berriatua Horta, con asistencia letrada de doña Anju Nirmala Benavent Rodríguez, solicita la suspensión del proceso de ejecución hipotecaria núm. 57-2018 tramitado por el Juzgado de Primera Instancia e Instrucción núm. 6 de Lorca. Lo hace por otrosí en el escrito de 26 de marzo de 2019 por el que interpone recurso de amparo contra los autos de 17 de septiembre de 2018 y 11 de febrero del año siguiente recaídos en aquel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resolver sobre la medida cautelar solicitada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Juzgado de Primera Instancia e Instrucción núm. 6 de Lorca se sigue procedimiento de ejecución hipotecaria núm. 57-2018 promovido por la entidad Banco de Sabadell, S.A., frente a las sociedades Euroinversiones Inmobiliarias Costa Sur, S.L., en calidad de prestataria e hipotecante, y Penrei Inversiones, S.L., en calidad de titular del derecho uso del inmueble de referencia.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Despachada ejecución por auto de 29 de mayo de 2018, las sociedades demandadas fueron requeridas y notificadas el 30 del mismo mes a través de la Sede Judicial Electrónica.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24 de julio de 2018, las sociedades demandadas formulan oposición a la ejecución despachada. Por Auto de 17 de septiembre del mismo año fue inadmitida por extemporánea, tomando como fecha de notificación el 30 de mayo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sociedad ejecutada Penrei Inversiones, S.L., interpone recurso de reposición. Alega que las diligencias de notificación y requerimiento se realizaron el 15 de julio de 2018. La comunicación remitida a través de la dirección electrónica habilitada no sería más que un aviso de puesta a disposición o descarga de su contenido durante un plazo determinado. Entenderlo de otro modo vulneraría el art. 24 CE, además de los arts. 135, 152, 160, 162 de la Ley 1/2000, de 7 de enero, de enjuiciamiento civil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recurso fue desestimado por auto de 11 de febrero de 2019. El órgano judicial razona a la vista del art. 43 de la Ley 39/2015, de 1 de octubre, de procedimiento administrativo común, que la sociedad demandada contaba con diez días para acceder al contenido de la resolución y, con ello, para tenerse por notificada. En el presente caso, el 30 de mayo de 2018 la notificación estaba ya disponible. El escrito de oposición se formuló el 24 de julio y, por tanto, claramente fuera del plazo establecido en el art. 556.1 LEC (diez días desde la notificación del auto que despacha la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atribuye a los autos impugnados la vulneración del derecho fundamental de la sociedad recurrente a la tutela judicial efectiva y a un proceso con garantías y sin indefensión (art. 24.1 y 2 CE). La interpretación de la legislación procesal, realizada a partir de una ley de procedimiento administrativo, habría privado injustamente a la recurrente de su derecho a formular oposición a la ejecución hipotecaria. Tratándose de un primer emplazamiento, debió realizarse del modo tradicional (art. 273 LEC). El órgano judicial habría incumplido su obligación de asegurar, no ya la legalidad formal de los actos de comunicación, sino el cumplimiento efectivo de su finalidad constitucional. La demanda solicita por otrosí la suspensión del proceso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16 de septiembre de 2019, la Sección Segunda de este Tribunal acuerda admitir a trámite el recurso y dirigir comunicación al Juzgado de Primera Instancia e Instrucción núm. 6 de Lorca, a fin de que, en el plazo de diez días, remita certificación o fotocopia adveradas de las actuaciones correspondientes a los autos de ejecución hipotecaria y emplace a quienes hubieran sido parte en el proceso del que trae causa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Sección acuerda formar la oportuna pieza para la tramitación del incidente de suspensión y, conforme a lo dispuesto en el art. 56 de la Ley Orgánica del Tribunal Constitucional (LOTC), concede un plazo común de tres días a la parte recurrente y al ministerio fiscal para que aleguen lo que estimen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20 de septiembre de 2019, la demandante de amparo insiste en que la ejecución se ha despachado con vulneración de su derecho a la tutela judicial efectiva. Añade que la doctrina constitucional ha accedido a suspender ejecuciones hipotecarias en otros casos y que no hacerlo en el presente conduciría a situaciones irreversibles con inevitables perjuicios.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el 3 de octubre siguiente, el ministerio fiscal interesa que se acuerde la anotación preventiva de la demanda en el registro de la propiedad, por más que no haya sido solicitada. Tras exponer la doctrina constitucional sobre suspensión de resoluciones impugnadas, considera que, de no adoptarse la anotación preventiva de la demanda, la tutela que el Tribunal pudiera otorgar corre el riesgo de ser incompleta; dejaría abierta la posibilidad de que la finca sea transmitida a un tercero de buena fe mientras se sustancia y resuelve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Personada en las actuaciones principales la entidad Pera Assets Designated Activity Company, el secretario de justicia de la Sala Primera, mediante diligencia de ordenación de 21 de octubre de 2019, le concede un plazo de tres días para alegar en relación con la petición de suspensión interesada por la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de 28 de octubre de 2019, la entidad Pera Assets Designated Activity Company, representada por la procuradora de los tribunales, doña Blanca María Grande Pesquero, afirma que Banco Sabadell le ha cedido el crédito hipotecario y que, en virtud del régimen de sucesión procesal, las actuaciones deben continuarse con ella. Tras ello se opone a la suspensión solicitada a la vista de la doctrina constitucional, la vaguedad de la petición formulada, la mala fe procesal demostrada y el no ofrecimiento de un principio razonable de prueba ni caución o fianza razonable.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resolver sobre la procedencia de la medida cautelar instada por la parte recurrente en amparo y dirigida frente al procedimiento de ejecución hipotecaria núm. 57-2018 seguido en el Juzgado de Primera Instancia e Instrucción núm. 6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esta razón se configura como una medida de carácter excepcional y de aplicación restrictiva (por todos, AATC 117/2015, de 6 de julio, FJ 1, y 59/2017, de 24 de abril, FJ 1).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Debe mostrar que la ejecución del acto recurrido puede privar a la demanda de amparo de su finalidad, provocando que el restablecimiento del recurrente en el derecho constitucional vulnerado sea tardío y convirtiendo en meramente ilusorio y nominal el amparo impetrado [AATC 51/1989, de 30 de enero, 144 290/1995, de 23 de octubre, 370/1996, de 16 de diciembre, 283/1999, de 29 de noviembre, 90/2014, de 27 de marzo, FJ 1; 190/2015, de 5 de noviembre, FJ 2 a); 59/2017, de 24 de abril, 146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expuesta al caso aquí planteado permite concluir, de acuerdo con el ministerio fiscal, que resulta improcedente la suspensión solicitada y, por el contrario, medida idónea la anotación preventiva de la demanda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 situación, no es posible afirmar que la continuación del curso del procedimiento judicial, incluso con un desplazamiento posesorio, provoque por sí sola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lo reputa idóneo para evitar el perjuicio derivado de que la adquisición del bien por tercero lo haga irreivindicable. Esta ha sido la solución acogida recientemente, entre otros, en los AATC 2/2019, 178 de 9 de enero, 88/2018, de 17 de septiembre, y 106/2017, de 17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el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188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192 de 15 de diciembre, 230/2007, de 7 de mayo, FJ 3; y 415/2007, de 5 de noviembre, FJ 4, y 217/2012, de 26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57-2018 seguido en el Juzgado de Primera Instancia e Instrucción núm. 6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noviembre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