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3089-2019, promovido por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mayo de 2019, tuvo entrada en el registro general de este Tribunal Constitucional un escrito de la procuradora doña Blanca Berriatua Horta, en representación de la entidad Penrei Inversiones, S.L., por el que interpuso recurso de amparo contra el auto de 17 de septiembre de 2018 del Juzgado de Primera Instancia e Instrucción núm. 6 de Lorca, que inadmitió el escrito de oposición a la ejecución hipotecaria promovida por Banco de Sabadell, S.A., y contra el auto del mismo juzgado, de 8 de abril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17 de septiembre de 2018, el Juzgado de Primera Instancia e Instrucción núm. 6 de Lorca dictó un auto en el procedimiento de ejecución hipotecaria núm. 70-2018 por el que acordó: “Inadmitir a trámite la oposición formulada por la parte ejecutada Euroinversiones Inmobiliarias Costa Sur S.L., y Penrei Inversiones, S.L., […] por presentación fuera de plazo, contra Banco Sabadell, S.A.”,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 “Se establece en el artículo 134 de la Ley de enjuiciamiento civil: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en el plazo de los diez días siguientes a la notificación del auto y del decreto y constando en el presente supuesto que la parte ejecutada se ha opuesto pasado que ha sido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8 de abril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21 de junio de 2018 no accediéndose al contenido hasta el día 2 de agosto de 2018 respecto de Euroinversiones y el 27 de julio de 2018 respecto de Penrei (fuera de los tres días que establece la normativa procesal), presentando los escritos de oposición a la ejecución en fecha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[sic]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17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del 8 de abril siguiente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70/2018 seguido ante el Juzgado de Primera Instancia e Instrucción número 6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28 de octubre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y porque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número [6] de Lorca, a fin de que, en plazo que no exceda de diez días, remita certificación o fotocopia adverada de las actuaciones correspondientes al procedimiento de ejecución hipotecaria número [70]/2018 debiendo previamente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28 de octubre de 2019, se dispuso “formar con la precedente fotocopia, la oportuna pieza para la tramitación del incidente sobre suspensión y conforme determina el artículo 56 de la Ley Orgánica de este Tribunal, conceder un plazo común de 3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5 de noviembre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de 2013,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8 de noviembre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56.2 de la Ley Orgánica del Tribunal Constitucional (LOTC) y reproducir lo declarado en el ATC 127/2015, de 20 de julio, FJ 1, en relación con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el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 Cita en apoyo de su petición el art. 56.3 LOTC, que permite al Tribunal adoptar toda medida que evite que el recurso de amparo pueda perder su finalidad, así como el ATC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pues de lo contrario “puede acabar afectando a derechos futuros de terceros adquirientes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70-2018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70-2018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