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1591-2019, promovido por Penrei Inversiones, S.L., en procedimiento de ejecución hipotecaria núm. 64-2018,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marzo de 2019, la entidad Penrei Inversiones, S.L., representada por la procuradora de los tribunales doña Blanca Berriatua Horta y bajo la dirección de la letrado doña Anju Nirmala Benavent Rodríguez, interpuso recurso de amparo contra los autos dictados por el Juzgado de Primera Instancia e Instrucción núm. 6 de Lorca en el procedimiento de ejecución hipotecaria núm. 64-2018 en fechas 19 de septiembre de 2018 y 22 de enero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64-2018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junio de 2018 se acordó despachar ejecución frente a las sociedades demandadas. El citado auto y el decreto de la misma fecha fueron comunicados a las citadas entidades a través de la sede judicial electrónica el día 21 de junio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21 de junio de 2018 hasta el 6 de agosto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demandante presentó escrito de oposición a la ejecución despachada en fecha 27 de agosto de 2018. Por auto 19 de septiembre de 2018 se acordó su inadmisión por presentación extemporánea, al considerarse que había transcurrido el plazo de diez días previsto en el art. 695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21 de junio de 2018, sino el 27 de julio de 2018, y que la comunicación remitida a través de la dirección electrónica habilitada no puede entenderse más que como un aviso de puesta a disposición o descarga de su contenido durante un plazo determinado (en el caso desde el 21 de junio al 27 de julio de 2018). De ahí que al haber accedido a dicha comunicación el día 27 de julio de 2018, es en ese día, cuando debe entenderse efectuada la notificación. Y entenderlo de otro modo, además de infringir los arts. 135, 152, 160, 162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fue desestimado por auto de 22 de enero de 2019.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Según se afirma en la indicada resolución, “[e]n el presente caso, consta que la notificación se puso a disposición de las recurrentes en fecha 21 de junio de 2018 no accediendo al contenido hasta el 27 de julio de 2018 (fuera de los tres días que establece la normativa procesal), presentando los escritos de oposición a la ejecución en fecha 27 de agosto de 2018, claramente fuera del plazo legalmente establecido en el art. 556.1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Aduce que siguió la literalidad de las instrucciones contenidas en un correo electrónico que recibió procedente del servicio de notificaciones electrónicas y accedió al contenido de la notificación dentro del plazo establecido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afirma que el órgano judicial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octubre de 2019, la Sección Tercera de este Tribunal acordó admitir a trámite el recurso de amparo y dirigir comunicación al el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8 de noviembre de 2019, la parte demandante formuló sus alegaciones, en el cual reitera lo interesado en el otrosí de su demanda, con sustento en el ATC 287/2013, de 16 de diciembre, cuyo contenido parcialmente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la solicitud de la medida de suspensión solo alude a la pérdida de finalidad del recurso, para el caso de que llegara a celebrarse la subasta, pero no ofrece ninguna razón que justifique esa pérdida de finalidad a que alude.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64-2018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217/2012, de 26 de noviembre, FJ 2;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64-2018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