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16 de diciembre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2447-2019, promovido por Promociones Arkimar,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abril de 2019, tuvo entrada en el registro general de este Tribunal Constitucional un escrito de la procuradora doña Josefa Garcerán Martínez, en representación de la entidad Promociones Arkimar, S.L., por el que interpuso recurso de amparo contra la providencia de 22 de febrero de 2019 del Juzgado de Primera Instancia e Instrucción núm. 4 de San Javier, que inadmitió el incidente de nulidad de actuaciones promovido por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15 de febrero de 2017 la entidad Cajamar Caja Rural, sociedad cooperativa de crédito, interpuso demanda ejecutiva en reclamación de deudas garantizadas con hipoteca contra la ahora recurrente, Arkimar, S.L. En la demanda se fijaba como domicilio de Arkimar, S.L., la calle Cánovas del Castillo núm. 88, en la localidad de Santiago de la Ribera en el municipio de San Javier (Murcia). Mediante “otrosí”, la entidad demandante solicitaba “de conformidad con lo establecido con el art. 152 LEC […] que se habilite al procurador que suscribe a realizar únicamente la notificación de la ejecución y el requerimiento de pago, pudiendo efectuar la misma en días y horas inhábiles”.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demanda fue turnada al Juzgado de Primera Instancia e Instrucción núm. 4 de San Javier, que, en fecha 24 de abril de 2017, en el seno de la ejecución hipotecaria núm. 41-2017, dictó auto despachando ejecución contra la ahora demandante de amparo, disponiéndose en dicha resolución la notificación del requerimiento de pago en los términos del art. 553 LEC. Mediante decreto de la misma fecha, el letrado de la administración de justicia dispuso la notificación del requerimiento de pago “en el domicilio que resulte vigente en el registro conforme a lo previsto en el art. 686.2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escrito de 23 de mayo de 2017 la parte ejecutante interesó que el requerimiento y notificación se efectuaran en una nueva dirección, calle Ronda Norte núm. 69 de San Javier, petición reiterada en nuevo escrito datado el siguiente 24 de mayo de 2017, en el que además reproducía la petición de habilitación del procurador para tal fin, como ya había interesado en la demanda. Esta petición fue atendida por el letrado de la administración de justicia en diligencia de ordenación de 12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diligencia de entrega de fecha 4 de junio de 2017, el procurador de la parte ejecutante puso de manifiesto que a las 11:40 horas de ese mismo día se había constituido en el domicilio sito en la calle Ronda Norte núm. 69, indicando en la diligencia que “la mercantil demandada no es conocida, manifestándonos los vecinos que no pueden precisar ningún dato para su localización”. Se añade que “igualmente y coincidiendo con empleado del servicio de correos les pregunto sobre la misma, indicándome que no la conoce de nada”. La diligencia estaba firmada por el procurador y dos testigos.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diligencia de ordenación de 13 de julio de 2017, se acordó la averiguación del domicilio de la sociedad demandada a través del punto neutro judicial, dando como único resultado el domicilio señalado en la demanda (calle Cánovas del Castillo núm. 88). Mediante diligencia de ordenación de 13 de julio de 2017, se acordó “a la vista del paradero desconocido del ejecutado […] practicar el requerimiento al demandado de forma edictal”.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escrito de 19 de octubre de 2017, la parte ejecutante solicitó que se procediera a la convocatoria y anuncio de subasta, lo que fue acordado por decreto de 8 de noviembre de 2017. Por diligencia de ordenación de 21 de diciembre de 2017, el letrado de la administración de justicia dispuso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cuenta, y a la vista de que el decreto acordando la subasta ha adquirido firmeza conforme a las normas procesales, sin perjuicio de la notificación acordada al ejecutado no personado, se procede a los efectos del art. 645 LEC y conforme a los (sic) actuales directrices de la Región de Murcia, a su remisión al portal electrónico de subastas de Murcia por medio de correo electrónico el cual se encargará de que la convocatoria de la subasta se anuncie en el ‘Boletín Oficial del Estado’ y portal de la administración de justicia y realizará las gestiones necesarias para la materialización de la subasta, lo que pongo en conocimiento de las partes personadas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decreto de 18 de septiembre de 2018 se adjudicó a la ejecutante la finca objeto de garantía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ahora demandante de amparo compareció en las actuaciones mediante escrito de 24 de enero de 2019 interesando el acceso al proceso y copia de las actuaciones en él practicadas. Mediante escrito de 18 de febrero de 2019 promovió, asimismo, un incidente excepcional de nulidad de actuaciones. En dicho escrito, la entidad recurrente alega que el día 22 de enero de 2019 su administrador único tuvo conocimiento “de forma totalmente casual […] de la posible existencia de un procedimiento de ejecución hipotecaria”. Como razones justificativas de la nulidad, señalaba las siguientes: (i) ni antes ni durante el procedimiento se ha practicado requerimiento alguno en la vivienda hipotecada que consta en el registro de la propiedad, calle, San Martín de Porres 120-2º A de Santiago de la Ribera ni tampoco en el domicilio que consta en la escritura del préstamo sito en la calle Cánovas del Castillo de Santiago de la Ribera, (ii) la diligencia de requerimiento intentada en la calle Ronda Norte núm. 69 de San Javier es defectuosa o irregular por las razones que explicita, entre otras, no haber dejado aviso en el buzón, (iii) la actora ha incumplido su obligación de aportar al órgano judicial cuantos datos conozca del demandado, datos que, en el caso presente, conocía por la intensa comunicación existente entre las partes, como lo demuestran los correos electrónicos que aporta con su escrito, que acreditan, entre otras cuestiones, la falta de actividad de la sociedad demandada y (iv) el órgano judicial también ha incumplido su obligación de extremar la búsqueda al no haber consultado los datos del registro mercantil y, dentro de él, los relativos a su administrador; invoca el art. 24.1 CE, cita en apoyo de su pretensión la doctrina constitucional en materia de actos de comunicación, SSTC 122/2013, de 20 de mayo, 200/2016, de 28 de noviembre, y 83/2018, de 16 de julio, cuyos fundamentos jurídicos 4 a 6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incidente fue inadmitido a trámite mediante providencia dictada por el órgano judicial el 22 de febrero de 2019, con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“Habiendo solicitado la representación procesal de Promociones Arkimar, S.L., la nulidad de actuaciones, indicar que, conforme al art. 228 LEC, no puede admitirse a trámite, dado que no se ha respetado el plazo que establece dicho precepto para pedir la nulidad: 20 días desde la notificación de la resolución o, en todo caso, desde que se tuvo conocimiento del defecto causante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procedimiento constan sucesivas notificaciones aceptadas a través de la sede electrónica desde mayo de 2017. En particular, el decreto de despacho de la ejecución consta aceptado por sede electrónica el 9 de mayo de 2017. Por tanto, ya desde esa fecha se pudo haber interesado la nulidad de actuaciones, pues ya se podía tener conocimiento de la existencia del procedimiento y de ese supuesto defecto que se afirma, dejando transcurrir sobradamente los 20 días que establece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art. 24.1 CE, en su vertiente de derecho a no padecer indefensión por una defectuosa notificación de la demanda y del resto de las resoluciones dictadas durante el procedimiento de ejecución hipotecaria seguido contra la actora, que le ha generado una efectiva indefensión al no haber tenido conocimiento y no poder defenderse, con negativa manifiesta del deber de acatamiento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demandante reitera las quejas formuladas en el escrito a través del cual promovía la nulidad de actuaciones y subraya los incumplimientos de la parte ejecutante —que califica de maquinación fraudulenta y omisiva— frente a los cuales el órgano judicial no habría “desplegado los medios a su alcance para garantizar el conocimiento de la demandada del proceso que se seguía contra ella (contraviniendo la pacífica doctrina de este tribunal); pues tratándose de una persona jurídica, es evidente que tiene un administrador; y que su nombre y datos personales se puede conocer con una simple consulta al registro mercantil e incluso con poner simplemente el nombre de la sociedad en Google, y averiguar el resto de sus datos personales a través del punto neutro judicial (consultando las bases de datos de la TGSS y la Agencia Tributaria). Este hecho se puede apreciar sin género de dudas de los emails cruzados entre ambas partes de fechas 5 de marzo de 2016, 15 de julio de 2016, 30 de agosto de 2016, 16 de octubre de 2016, 28 de diciembre de 2016, 9 de febrero de 2017, 9 de mayo de 2017, 7 de marzo de 2017 y 8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queja específicamente la demandante de la respuesta ofrecida en la providencia de 22 de febrero de 2019, al pretender validar las actuaciones y salvar la indefensión denunciada sobre la base de la aceptación de unas notificaciones electrónicas cuya recepción niega. Según explica, todas las notificaciones electrónicas fueron rechazadas automáticamente por el sistema. El rechazo automático se produce, de forma general, tras haber transcurrido diez días naturales desde su puesta a disposición para su acceso según el párrafo segundo, artículo 43, de la Ley 39/2015, de 1 de octubre, del procedimiento administrativo común de las administraciones públicas. Y de forma particular, superado el plazo establecido por la administración actuante de acuerdo a la normativa jurídica específica que sea de aplicación. Por otra parte, no existe acreditación documental en las actuaciones de qué notificación es la que se envió, ni el contenido de la misma, ni siquiera qué juzgado la envió ni el número de procedimiento; en el certificado consta “que a través de dicho servicio se envió la notificación con referencia: 59f8b3c809834 por el organismo emisor juzgados y tribunales para la DEHB73353468, con el siguiente resultado: Fecha de puesta a disposición: 31 de octubre de 2017 18:33:03; fecha de rechazo automático: 16 de diciembre de 2017 00:00:00”. Afirma que las únicas actuaciones que constan remitidas a través de la dirección electrónica habilitada se refieren a la diligencia de ordenación de 26 de octubre de 2017 por la que se insta a la actora a que identifique la localización exacta de la finca. La demandada no ha recibido en ningún momento por parte de la Agencia Tributaria ni de ningún otro organismo comunicación alguna sobre la obligación de incluirse en la dirección electrónica habilitada, ni de comunicar a ningún organismo un correo electrónico para recibir comunicaciones; por lo que jamás lo hizo.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asimismo, la demandante que el asunto que plantea tiene especial trascendencia constitucional “por cuanto que el órgano judicial se aparta claramente en negativa manifiesta del deber de acatamiento de la doctrina del Tribunal Constitucional”, ya que éste “ha tenido ocasión de pronunciarse en reiteradas ocasiones sobre quejas de indefensión producidas por la defectuosa realización de actos de comunicación procesal, consolidando una detallada doctrina al respecto”, doctrina esta que fue puesta de manifiesto al órgano judicial. La demandante también estima que el recurso puede dar ocasión al Tribunal para aclarar o cambiar doctrina como consecuencia de cambios normativos relevantes para la configuración del contenido del derecho fundamental [STC 155/2009, FJ 2 b)], en concreto en relación al hecho de “si es o no suficiente la notificación de un solo acto a lo largo del proceso de ejecución hipotecaria a una persona jurídica mediante la dirección electrónica habilitada, para darlo por notificado de todo el proceso, aun cuando dicha comunicación sea rechazada por la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digo” la entidad demandante solicita, al amparo del art. 56.2 de la Ley Orgánica del Tribunal Constitucional (LOTC), “la medida cautelar de suspensión de la sentencia [sic] recurrida en amparo”. Entiende la actora que la resolución recurrida “implica la continuación de la vía de apremio sobre la vivienda habitual de mi representado, en la que reside con su familia, su ejecución supondría la desposesión de mi representado y su familia en relación con su vivienda y la eventual adquisición por un tercero, que provocaría una situación irreversible, lo que conlleva que la cabal efectividad de una posible sentencia estimatoria futura quede ciertamente comprometida, quedando privado de finalidad el recurso”. Añade la recurrente que “si no se adopta la medida cautelar, se puede materializar la transmisión del dominio de la vivienda de mi representado, creando una situación difícilmente reversible que menoscabaría los fines del recurso interpuesto por esta representación, debiendo ponderarse, además, que la ejecución afecta a la esposa e hijos de mi representado, menores de edad, y que no existe una perturbación grave de terceros, puesto que, aun desestimándose el recurso, el acreedor fácilmente puede resarcirse pese a la dilación en la ejecución, quedando tutelada su posición con el devengo de los intereses moratorios”. Entiende, en definitiva, la demandante de amparo que “la ejecución de la resolución recurrida en amparo puede provocar perjuicios de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30 de septiembre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puede dar ocasión al Tribunal para aclarar o cambiar su doctrina, como consecuencia de cambios normativos relevantes para la configuración del contenido del derecho fundamental [STC 155/2009, FJ 2 b)] y porque el órgano judicial pudiera haber incurrido en una negativa manifiesta del deber de acatamiento de la doctrina de este Tribual [STC 155/2009,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en esta Sala testimonio de las actuaciones jurisdiccionales, diríjase atenta comunicación al Juzgado de Primera Instancia e Instrucción núm. 4 de San Javier a fin de que, en plazo que no exceda de diez días, proceda emplazar a quienes hubieran sido parte en el procedimiento, excepto la parte recurrente en amparo, para que en el plazo de diez días puedan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30 de septiembre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este Tribunal Constitucional formalizó su escrito de alegaciones en esta pieza el 14 de octubre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sintéticamente la doctrina general del Tribunal Constitucional sobre el carácter excepcional y la aplicación necesariamente restrictiva de la medida de suspensión de las resolución impugnada en amparo, considera que, “en el presente caso, la petición de suspensión del procedimiento no parece muy fundamentada por la propia recurrente, ya que se limita a la mera petición sin explicitar ninguna razón salvo la mera pérdida de finalidad del recurso en el caso de que llegara a celebrarse la subasta de los bienes inmuebles en conflicto y su adjudicación a un tercero que actuaría de buena fe”. Añade el fiscal que “[a]cordar la suspensión comportaría la drástica medida que supondría la paralización del procedimiento ejecutivo, que por su propia naturaleza goza de las características de celeridad y sumariedad”. Considera por ello “[m]ucho más eficaz para conseguir el efecto protector deseado por la recurrente”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 amparo en su caso, evitando que el hipotético tercero adquirente qued[e] especialmente protegido por su buena fe en la adquisición”. Con cita del ATC 95/2015, de 25 de mayo, estima el fiscal que el propio Tribunal Constitucional ha admitido la posibilidad de adoptar este tipo de tutela cautelar en casos similares, al amparo del art. 56.3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fiscal que “la aplicación al caso de la doctrina reseñada nos debe llevar a considerar que nos encontramos en uno de esos supuestos en que tratándose de una resolución de carácter patrimonial, no obstante puede acabar afectando a derechos futuros de terceros adquirentes de buena fe, por lo que de acuerdo con la doctrina de este Tribunal, sería procedente la anotación preventiva de la demanda, que haría que lo que consta en el registro de la propiedad fuera fiel reflejo de la realidad, evitando situaciones cuya reversibilidad deviniera poco menos que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Expirado el plazo concedido, la parte recurrente de amparo no ha formulado alegaciones sobre la suspensión interesada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41-2017 seguido en el Juzgado de Primera Instancia e Instrucción núm. 4 de San Javier.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Aunque la entidad afirma que la finca afectada constituye “la vivienda habitual de mi representado, en la que reside con su familia”, semejante afirmación carece de todo sustento fáctico, ya que la demandante es una persona jurídica, con forma jurídica mercantil de “sociedad limitada”. Nada se dice acerca de la identidad de la supuesta persona que estaría viviendo con su familia en la finca afectada ni de la relación jurídica que ésta mantendría con la entidad, omisión ésta a la que se suma el hecho de que la sociedad demandante no haya efectuado alegaciones en la pieza de suspensión, quedando, pues, sin acreditar la supuesta existencia de un perjuicio adicional a la mera posibilidad de que se produzcan actos de disposición a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circunstancias, no es posible afirmar que la continuación del curso del procedimiento judicial, incluso con un desplazamiento posesorio, provoque por sí solo un perjuicio determinante de la pérdida de la finalidad del presente recurso de amparo. 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41-2017 seguido en el Juzgado de Primera Instancia e Instrucción núm. 4 de San Javier.</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