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3542-2019, promovido por la entidad Euroinversiones Inmobiliarias Costa Sur, S.L., en autos del Juzgado de Primera Instancia e Instrucción núm. 5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23 de abril de 2019, dictados por el Juzgado de Primera Instancia e Instrucción núm. 5 de Lorca, en el procedimiento de ejecución hipotecaria núm. 293-2018,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293-2018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43.292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9 de mayo de 2018 se acordó despachar ejecución frente las sociedades demandadas por la cantidad de 2.604,39 € de principal y 2.400 € como intereses y costas presupuestados. El citado auto y el decreto de la misma fecha que le sigue fueron comunicados a las citadas sociedades a través de la sede judicial electrónica el día 11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10 de julio de 2018. Por auto de 21 de septiembre de 2018 se acordó su inadmisión por considerar la pretensión extemporánea, tomando como fecha de notificación el 11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11 de mayo de 2018, sino el 26 de junio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11 de mayo hasta el 26 de junio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11 de mayo de 2018, no accediendo al contenido hasta el día 26 de junio de 2018 (fuera de los tres días que establece la normativa procesal), presentando los escritos de oposición a la ejecución en fecha 10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2019 la Sección Primera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4 de octubre de 2019 la parte demandante formuló sus alegaciones, reiterando lo expuesto en el otrosí de su demanda y trascribiendo como fundamento de su pretensión lo expresado en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17 de octubre de 2019,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el demandante no explicita razón alguna que permita afirmar que la continuación del procedimiento judicial, incluso con desplazamiento posesorio, provoque un perjuicio determinante de la pérdida de finalidad del recurso de amparo; por lo que resultando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293-2018,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150/2019, 155/2019 y 156/2019, de 25 de noviembre),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81/2019, de 15 de julio; 148/2019, 150/2019, 155/2019 y 156/2019,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Denegar la suspensión cautelar solicitada del procedimiento de ejecución hipotecaria núm. 293-2018,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