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10 de febrero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en el recurso de amparo núm. 3529-2019 promovido por Rústicas Riquelme, S.L.,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6 de junio de 2019, la procuradora de los tribunales doña Emilia del Rosario Álvarez Fernández, en representación de la entidad Rústicas Riquelme, S.L., y bajo la dirección del letrado don Jesús Alejandro Cánovas Ciller, interpuso recurso de amparo contra el auto del Juzgado de Primera Instancia e Instrucción núm. 5 de San Javier de 24 de abril de 2019, por el que se desestima el incidente de nulidad de actuaciones interpuesto contra la diligencia de ordenación de 29 de mayo de 2017, por la que se acordó emplazar con traslado de la demanda a la recurrente, por ser persona jurídica, a través de sede electrónica, para comparecer en el procedimiento ordinario núm. 99-2017.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demandante de amparo manifiesta que tuvo conocimiento de la sentencia de 2 de mayo de 2018, dictada en sentido estimatorio en el citado proceso ordinario, tras serle embargada en sede de títulos judiciales una cuenta bancaria. Dicha sentencia estimó la acción de reclamación de cantidad por responsabilidad extracontractual de daños, presentada a instancia de club de golf la Peraleja, S.L., por importe de 1.270.254, 24 € en concepto de los perjuicios ocasionados en la parcela de su propiedad, más intereses, como consecuencia de la salinización progresiva de las aguas destinadas al riego de la misma, fruto de las sales inyectadas al subsuelo por el funcionamiento propio de la desaladora ilegal propiedad de Rústicas Riquelme, S.L.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mercantil demandante alega la vulneración del derecho a la tutela judicial efectiva (art. 24.1 CE), en su vertiente de acceso al proceso, por cuanto se siguió el procedimiento de reclamación de cantidad sin el debido emplazamiento personal, impidiéndole de esta manera ejercitar su derecho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del auto recurrido en amparo y del procedimiento del que trae causa (procedimiento ordinario núm. 99-2017), así como la suspensión de la ejecución de títulos judiciales núm. 169-2018 que trae causa de dicho procedimiento, a fin de evitar que el presente recurso de amparo pierda su finalidad”. Alega que “d[e] continuarse la ejecución se estarán causando perjuicios de muy difícil o difícil reparación dado que se está embargando y reteniendo cantidades por la exorbitada suma de 1.270.254,24 € de principal más 30.000 € presupuestados para intereses y gastos, lo que está suponiendo la parálisis de la sociedad condenándola a su desaparición del tráfico económico. Siendo además más que dudoso que, en caso de no suspender la ejecución y estimarse el recurso de amparo —lo que resulta más que previsible a la vista de la doctrina sentada por la sentencia de este Tribunal de 8 de abril de 2014— sea posible la restitución íntegra de lo ejecutado dada la situación económica de la ejecutante, respecto de la que consta publicado en el ‘Boletín Oficial de la Región de Murcia’ de fecha de 14 de Septiembre de 2015 la insolvencia provisional total por razón del oficio remitido por el Juzgado de lo Social núm. 2 de Murcia”. Añade que “[a]demás de las cuentas bancarias y devoluciones de hacienda, se han embargado otros bienes como ayudas y subvenciones que perciba de la administración, como fondos y ayudas que perciba de la Comunidad Económica Europea, los derechos y concesiones que ostenta o pudiera ostentar mi mandante en la confederación hidrográfica del Segura y los derechos que ostenta mi mandante sobre concesiones y compra de agua de la desaladora de Valdelentisco (Murcia) gestionada por Acuamed, lo que supone ‘de facto’ dejar sin agua y sin posibilidad de riego a la finca de mi mandante, con la consiguiente pérdida de cosechas y de las propias plantaciones que resultarían irrecuperables, causando un perjuicio de imposible reparación para mi representada cuyo objeto social es la explotación agraria”. Estima, además, que “la suspensión no ocasiona perturbación grave de ningún interés constitucionalmente protegido, ni a los derechos fundamentales o libertades de otra persona, ya que los bienes han sido embargados, si bien se paralizaría las medidas de aseguramiento de la traba y su apremio. La posible demora en la ejecución quedaría compensada con los intereses que devengaría la dilación. Por lo que ningún perjuicio acarrea al ejecutante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de este Tribunal por sendas providencias de 25 de noviembre de 2019, acordó, en la primera, entre otros aspectos, la admisión a trámite de la demanda de amparo y la formación de pieza separada para la sustanciación del incidente de suspensión; y, en la segunda, formar la oportuna pieza para la tramitación del incidente sobre suspensión y conceder a la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13 de diciembre de 2019, la parte recurrente presentó alegaciones reiterando, en los mismos términos, lo dicho en la demanda de amparo respecto de la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17 de diciembre de 2019, presentó alegaciones interesando que se proceda a acordar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Comienza el fiscal poniendo de manifiesto que “la petición de suspensión del procedimiento ejecutivo tiene por objeto evitar que con el embargo de diversos bienes de la sociedad, se coloque a esta en una situación de absoluta falta de liquidez y la condene a una total paralización de su actividad empresarial ordinaria”. Señala, a continuación, que “lo cierto es que en el presente caso ha sido tal cúmulo de bienes económicos afectados por el embargo (cuentas bancarias, devoluciones de hacienda, ayudas y subvenciones de la administración o Comunidad Europea, derechos y concesiones que ostente la sociedad, de compras de agua), que teniendo en cuenta la periodicidad de la actividad agraria de la sociedad, en realidad se le puede estar dirigiendo inapelablemente a una paralización de su actividad empresarial, lo que parece claramente desproporcionado a la finalidad de las medidas cautelares, y desde luego claramente contrario a cualquier idea de productividad agrícola”. Añade que en el procedimiento en el que se denuncia la supuesta vulneración del derecho a la tutela judicial efectiva por no haberse dado traslado de la demanda a la sociedad demandada con dejación de lo regulado en el art. 155 de la Ley de enjuiciamiento civil, “el órgano judicial acordó el embargo de prácticamente todo el activo de que pudiera disponer la empresa para el normal desenvolvimiento de su actividad agraria”. Por todo ello, considera que aun encontrándonos en un supuesto de resolución de carácter patrimonial, “no obstante puede provocar una daño irreparable, por lo que de acuerdo con la doctrina de este Tribunal, sería procedente, en primer lugar la suspensión del proceso, con el fin de evitar la descapitalización de la empresa que nada positivo compartiría ni siquiera para la parte demandante, ya que podría acabar provocando la insolvencia de la misma”.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la procedencia o no de la medida cautelar instada por la parte recurrente en amparo de suspensión del auto recurrido ante este Tribunal, del procedimiento núm. 99-2017 del que trae causa y el procedimiento de ejecución de títulos judiciales núm. 169-2018. Considera la mercantil demandante de amparo que su continuación le causaría un perjuicio económico difícilmente reparable si fuera finalmente llevada a efecto el embargo decidido en la citada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en la redacción dada por la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(AATC 220/2008, de 14 de julio, 393/2008, de 22 de diciembre, 12/2009, de 26 de enero, y 1/2010, de 11 de enero, entre otros muchos). Por ello, la regla general es la improcedencia de la suspensión de las resoluciones judiciales, por la perturbación de la función jurisdiccional que la misma supone, salvo en los casos en los que se acredite de forma fehaciente tanto el carácter irreparable del perjuicio para los derechos fundamentales, como la pérdida de la finalidad del amparo en caso de mantenerse la ejecución de la resolución (AATC 40/2008, de 11 de febrero, 59/2008, de 20 de febrero, 2/2009, de 12 de enero, y 12/2009, de 26 de enero)” (ATC 125/2019, de 28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relación a los perjuicios de carácter patrimonial o económico se ha señalado que, por más que puedan producir efectos desfavorables a quien demanda amparo, en principio, no deben considerarse causa suficiente para acordar la suspensión de una resolución judicial firme, pues dichos perjuicios son susceptibles de ser reparados en la hipótesis de que la pretensión de amparo sea estimada, de modo que no conllevan un perjuicio irremediable que pueda hacer perder la finalidad del recurso (entre tantos otros, ATC 176/2012, de 1 de octubre, FJ 2, y los allí citados). De ahí que se haya accedido a la suspensión “en aquellos supuestos en los que la ejecución de lo acordado acarree perjuicios patrimoniales difícilmente reparables por su entidad, por la imposibilidad de repercutir su costo o por la irreversibilidad de las situaciones jurídicas que puedan producirse, como ocurre en los casos en que, con la ejecución de lo acordado, se pueda producir la transmisión irrecuperable del dominio sobre un bien determinado (en ese sentido, ATC 69/2016, de 11 de abril, FJ 2)” (ATC 117/2018, de 29 de octubre, FJ 2; en el mismo sentido AATC 21/2018, de 5 de marzo, FJ 2, y 66/2008, de 25 de febrero,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recurridos que alegue, pruebe o justifique, ofreciendo un principio razonable de prueba, la irreparabilidad o la dificultad de la reparación de los perjuicios que derivarían de seguirse la ejecución del acto impugnado, ya que la ejecución del acto recurrido puede privar a la demanda de amparo de su finalidad, provocando que el restablecimiento del recurrente en el derecho constitucional vulnerado sea tardío y convirtiendo en meramente ilusorio y nominal el amparo (ATC 87/2019, de 15 de julio, FJ 2,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la ejecución de la resolución judicial supone abonar la cantidad de 1.270.254,24 € de principal más otros 30.000 € calculados para intereses y costas. La mercantil recurrente alega que dicha circunstancia dejaría a la sociedad en una situación de falta de liquidez, que le impediría seguir ejerciendo la actividad agraria a la que se dedica, provocando una situación irreparable. Este perjuicio que se considera que irrogaría la ejecución del auto recurrido en amparo, sin embargo, no se acredita en la demanda de amparo, salvo con la argumentación que ha quedado reproducida en los antecedentes de la presente resolución, y es jurisprudencia de este Tribunal que “el demandante de amparo tiene la carga de acreditar el perjuicio y debe precisar los concretos detrimentos o daños que pueden derivarse de la ejecución del acto impugnado, así como justificar o argumentar razonadamente su carácter irreparable” (ATC 83/2019, de 15 de julio, FJ 2). También se ha señalado por este Tribunal “que la pérdida de la finalidad del amparo no puede equipararse a la mayor o menor dificultad, molestia o incomodidad para el recurrente (entre otros, AATC 160/2017, de 21 de noviembre, FJ 2, y 88/2018, de 17 de septiembre, FJ 3)” (ATC 83/2019,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relación con la alegada dificultad de la restitución de lo ejecutado que se atribuye a la situación económica de insolvencia provisional total de la ejecutante, únicamente se aporta una fotocopia del “Boletín Oficial de la Región de Murcia” de fecha de 14 de septiembre de 2015, en la que se dice respecto del club de golf la Peraleja, S.L., lo siguiente: “Oficio remitido por el Juzgado de lo Social núm. 2 de Murcia en el que se declara la insolvencia provisional total en reclamación de 2.600 € provisionales. Datos registrales. T 2656, F 88, H MU 70172, I/A 4 (14 de septiembre de 2015)”. Pero no se acredita cuál es la situación actual de la citada sociedad. La suspensión podría ocasionar una perturbación grave a la ejecutante, aunque la mercantil demandante de amparo alegue que los bienes ya han sido embargados, quedando paralizadas las medidas de aseguramiento de la traba y su apremio.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razonamientos anteriores, de conformidad con la doctrina expuesta, y sin prejuzgar la decisión de fondo del recurso, conducen a denegar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cautelar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febrero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