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9 de marzo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3139-2019, promovido por la entidad Euroinversiones Inmobiliarias Costa Sur, S.L., en autos del Juzgado de Primera Instancia e Instrucción núm. 6 de Lorca,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mayo de 2019, la entidad Euroinversiones Inmobiliarias Costa Sur, S.L., representada por la procuradora de los tribunales doña Blanca Berriatua Horta y bajo la dirección del letrado don Marcelino Gilabert García, interpuso recurso de amparo contra los autos de 17 de septiembre de 2018 y 4 de abril de 2019, dictados en el procedimiento de ejecución hipotecaria núm. 60-2018, por el Juzgado de Primera Instancia e Instrucción núm. 6 de Lorca, por los que, respectivamente, se inadmitió por extemporánea la demanda de oposición formulada y se confirmó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6 de Lorca se sigue procedimiento de ejecución hipotecaria núm. 60-2018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núm. 43.319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29 de mayo de 2018 se acordó despachar ejecución frente las sociedades demandadas por la cantidad de 155.233 € de principal e intereses ya vencidos, y 24.040 € más como intereses y costas presupuestados. El citado auto y el decreto de la misma fecha que le sigue fueron comunicados a las citadas sociedades a través de la sede judicial electrónica el día 30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27 de julio de 2018. Por auto de 17 de septiembre siguiente se acordó su inadmisión por considerar la pretensión extemporánea, tomando como fecha de notificación el 30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la vulneración del art. 24 de la Constitución, en el que discutía la fecha de notificación del auto que despachó la ejecución y, por ello, la de vencimiento del plazo para formalizar la oposición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4 de abril de 2019. Según esta resolución, la recurrente tiene la condición de persona jurídica, por lo que desde el 1 de enero de 2017 está legalmente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febrero de 2020, la Sección Primera de este Tribunal acordó admitir a trámite el recurso de amparo y dirigir comunicación al Juzgado de Primera Instancia e Instrucción núm. 6 de Lorca, a fin de que, en plazo que no excediera de diez días procediera a emplazar a quienes hubieran sido parte en el proceso judicial del que trae causa el presente recurso de amparo, para que en igual plazo puedan comparecer, si lo desean,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14 de febrero de 2020, la parte demandante formuló sus alegaciones, reiterando lo expuesto en el otrosí de su demanda y transcribiendo como fundamento de su pretensión lo expresado, en parte, en 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24 de febrero de 2020, el ministerio fiscal se opuso a la pretendida suspensión del procedimiento de ejecución hipotecaria, interesando que, alternativamente, se acuerde la anotación preventiva de la demanda de amparo en el registro de la propiedad, aunque esta última medida cautelar no haya sido solicitada en el recurso. Tras exponer la doctrina de este Tribunal sobre suspensión de resoluciones y actos impugnados, aduce que en el presente caso el demandante no explicita razón alguna que permita afirmar que la continuación del procedimiento judicial, incluso con desplazamiento posesorio, provoque un perjuicio determinante de la pérdida de finalidad del recurso de amparo. Por contra, considera más eficaz la anotación preventiva de la demanda en el registro de la propiedad, pues a través de dicha medida cautelar ya que de esta manera se daría publicidad frente a terceros de la pendencia del recurso de amparo, lo que hace posible evitar que un hipotético tercer adquirente del inmueble hipotecado, en virtud de su buena fe registral, quede especialmente protegido, perjudicando así los intereses concernidos.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 suspensión cautelar instada por la parte recurrente en amparo y dirigida frente al procedimiento de ejecución hipotecaria núm. 60-2018,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(AATC 81/2019, de 15 de julio; 4/2020, 5/2020, 6/2020 y 8/2020, de 27 de enero),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si se produjera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otras, en las resoluciones sobre medidas cautelares que han sido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60-2018,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