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4755-2017, promovido por doña Carmen Molina Serrano, representada por la procuradora de los tribunales doña Blanca Rueda Quintero, y asistida por el abogado don José Luis de Castro Martín, que se dirige frente a los acuerdos de liquidación, de fecha 29 de agosto de 2011, y de resolución de procedimiento sancionador, de 14 de septiembre de 2011, de la dependencia regional de inspección de la delegación especial de la Agencia Estatal de la Administración Tributaria de Andalucía, la resolución del Tribunal Económico-Administrativo Regional de Andalucía de fecha 19 diciembre de 2013 y la sentencia de 21 de noviembre de 2016, dictada por la Sección Tercera de la Sala de lo Contencioso-Administrativo, con sede en Málaga, del Tribunal Superior de Justicia de Andalucía, y la providencia de inadmisión del recurso de casación de 12 de julio de 2017, dictada por la Sección Primera de la Sala de lo Contencioso-Administrativo del Tribunal Supremo, en la medida en que no habrían reparado las vulneraciones que se alega han sido producidas por la administración. Han intervenido el Ministerio Fiscal y el abogado del Estado.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septiembre de 2017, la procuradora de los tribunales doña Blanca Rueda Quintero, en nombre y representación de doña Carmen Molina Serrano, asistida por el abogado don José Luis de Castro Martín, interpuso demanda de amparo contra los acuerdos de liquidación, de fecha 29 de agosto de 2011, y de resolución de procedimiento sancionador, de 14 de septiembre de 2011, de la dependencia regional de inspección de la delegación especial de la Agencia Estatal de Administración Tributaria (AEAT, en adelante) de Andalucía, la resolución del Tribunal Económico-Administrativo Regional de Andalucía de fecha 19 diciembre de 2013, sobre el impuesto sobre la renta de las personas físicas (IRPF, en adelante), ejercicios 2005 y 2006 y la sentencia de 21 de noviembre de 2016, dictada por la Sección Tercera de la Sala de lo Contencioso-Administrativo, con sede en Málaga, del Tribunal Superior de Justicia de Andalucía y la providencia de inadmisión del recurso de casación de 12 de julio de 2017, dictada por la Sección Primera de la Sala de lo Contencioso-Administrativo del Tribunal Supremo, en la medida en que no habrían reparado las vulneraciones que se alega han sido producidas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había ejercido la actividad de abogada, prestando sus servicios en el despacho titularidad de la comunidad de bienes “Rafael Cruz-Conde y Antonio de la Riva, C. B.”, en el que trabajaban un total de seis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curso de las diligencias previas 1455-2006 (posteriormente, procedimiento abreviado número 80/2010, “operación Hidalgo”), seguidas ante el Juzgado de Instrucción número 2 de Marbella, en el marco de un proceso penal por blanqueo de capitales, se ordenó un registro judicial que fue practicado el 17 de abril de 2007 en el domicilio de uno de los dos abogados comuneros del despacho citado. La investigación desarrollada por el citado juzgado de instrucción fue consecuencia del atestado remitido por la unidad de delincuencia y crimen organizado de la costa del sol, sección de delincuencia económica y blanqueo de capitales, en relación con la posible existencia de un entramado dirigido al blanqueo de capitales con base en el mencionado despacho de abogados. En dicho registro, fue incautado un ordenador que contenía unos archivos en soporte informático, entre los cuales se encontraba un documento de hoja de cálculo, del programa “Excel”, titulado “Beneficio real”. Dicho documento fue solicitado por la dependencia regional de inspección de Andalucía, sede Málaga, de la AEAT al amparo del art. 94.3 de la Ley 58/2003, de 17 de diciembre, general tributaria (LGT, en adelante), y remitido en consecuencia por 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administración tributaria examinó el citado documento, alcanzando la conclusión de que en el mismo se encontraban los registros de ingresos y gastos reales del citado despacho de abogados, que reflejaban que los ingresos obtenidos eran superiores a los que habían sido declarados por los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citada documentación, la inspección tributaria giró propuesta de liquidación a la recurrente, que se opuso a la misma mediante escrito de 3 de agosto de 2011, en el que alegó, entre otros extremos, la total ausencia de elementos de prueba, al ser los archivos procedentes del registro “un documento privado, incautado en un domicilio particular, no firmado ni reconocido por nadie y cuyo contenido era totalmente desconocido por esta parte”, así como refiriéndose a la posible prejudicialidad penal, con la alegación de que los mismos archivos habrían servido de base para la imputación penal de dos de los comuneros del despacho.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rechazar las alegaciones anteriores, el inspector regional adjunto de la dependencia regional de inspección (sede en Málaga) de la delegación especial de Andalucía de la AEAT dictó acuerdo de 29 de agosto de 2011 de liquidación, por importe de 104 158,00 €, correspondiente al IRPF de la recurrente en amparo, ejercicios 2005 y 2006. Asimismo, con posterioridad, el 14 de septiembre de 2011, se dictó acuerdo de resolución del procedimiento sancionador derivado de la anterior liquidación, con un importe a ingresar de 59 573,88 €, consecuencia de la comisión de una infracción tributaria grave tipificada en el artículo 191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de liquidación se expone que la demandante habría presentado autoliquidaciones correspondientes a los ejercicios comprobados, 2005 y 2006, consignando unos importes inferiores a los que se derivan de los citados archivos en soporte informático incautados en el registro judicial. El informe añade que los datos contenidos en las declaraciones del resto de abogados y comuneros, así como también los movimientos de cuentas bancarias analizados, permiten concluir que las cuantías reflejadas en los archivos informáticos citados son un fiel reflejo de la realidad económica del citado despacho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referidos actos administrativos tributarios, liquidación y sanción, fueron objeto de sendas reclamaciones económico-administrativas ante el Tribunal Económico-Administrativo Regional, formuladas por la recurrente con fecha de 28 de septiembre y 14 de octubre, ambas de 2011, y registradas respectivamente con los números 29/65265/2011 y acumulada 29/65591/2011.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reclamaciones, la recurrente reiteró sus alegaciones sobre el carácter ilícito de las pruebas utilizadas, refiriéndose a la conculcación del deber de secreto por parte de la inspección, de acuerdo con la ley de protección de datos, así como haciendo hincapié en que los archivos en los que se basa la inspección serían unos documentos informáticos perfectamente manipulables, cuya verdad y existencia nunca habría sido testimoniada por secretario judicial alguno. Se insistió en que tanto la liquidación tributaria como el posterior acuerdo sancionador tuvieron origen único en los datos trasladados por dicho juez de instrucción, en concreto en la citada hoja de cálculo del programa “Excel”, y sin que en el procedimiento inspector se encontraran pruebas adicionales de los ingresos que se consideran no declarados.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resolución del Tribunal Económico-Administrativo Regional de Andalucía (sede de Málaga), de 19 de diciembre de 2013, desestimó íntegramente todos los argumentos esgrimidos al resolver las citadas reclamaciones 29/65265/2011, y acumulada 29/65591/2011.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ilicitud de las pruebas y la prejudicialidad penal, se asumen expresamente los argumentos recogidos en el acuerdo de liquidación recurrido. En relación con la sanción, se considera adecuadamente motivado el acuerdo sancionador, confirmando que concurre la culpabilidad exigida en el tipo, al haberse constatado suficientemente el ingreso, por parte de la recurrente, de cantidades inferiores a las que habrían correspondido por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Agotada la vía administrativa, se interpuso demanda en proceso contencioso-administrativo, solicitando la nulidad de la resolución del Tribunal Económico-Administrativo Regional “y de todas las actuaciones administrativas que le traen causa, revocando por tanto las actas de liquidación y de sanción emitidas, condenando a la agencia tributaria a devolver a mi mandante todas las cantidades pagadas por estos conceptos, más sus intereses legales”. En la demanda se pidió que “se tengan por reproducidas como parte integrante de la presente demanda todas y cada una de las alegaciones que [...] hizo en los escritos presentados en el expediente económico administrativo”, centrándose especialmente en la ya denunciada ilegalidad de la prueba practicada, e insistiendo en la ausencia de pruebas adicionales de los menores ingresos declarados.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fue resuelto por la sentencia de 21 de noviembre de 2016, dictada por la Sección Tercera de la Sala de lo Contencioso-Administrativo, con sede en Málaga, del Tribunal Superior de Justicia de Andalucía, en el recurso contencioso-administrativo número 92-2014. La sentencia contiene una argumentación por remisión en el fundamento cuarto, con cita literal de una anterior, dictada en relación con otro de los socios en fecha 9 de diciembre de 2015 [sentencia número 2732/2015, recurso 317-2014].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sentencia cabe destacar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descarta la ilegalidad de la prueba, afirmando que “es obligado a la administración tributaria valerse de dicha información judicial, y ello porque cualquier infracción tributaria es denunciable y tiene que ponerse en conocimiento de la AEAT por cualquier medio como así hizo el juzgado, por tanto no es ilegal el modo de llegar a la administración tributaria la contabilidad del actor la oficial y la oficiosa”.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igualmente la pretendida carencia de valor probatorio de los archivos informáticos, sobre la base de una pretendida manipulación de su contenido, afirmándose que las cuantías derivadas de la contabilidad hallada coinciden con la que resulta del resto de las pruebas, esto es, los movimientos de cuentas y contabilidad que también ha tenido en cuenta la AEAT, con cita del informe ampliatorio de la inspección de los tributos así como del acuerdo de liquidación. Se constata que, a lo largo del procedimiento inspector, se desarrollaron diversas actuaciones que probaron que la recurrente ocultó a la AEAT ingresos económicos en los ejercicios 2005 y 2006, pruebas que fueron puestas de manifiesto a la recurrente en el momento procedimental oportuno, y frente a las que se han podido presentar alegaciones, “sin que se vulnerara norma alguna ni se le haya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 la prejudicialidad penal alegada, por la tramitación del procedimiento de diligencias previas 1455/2006 seguido en el Juzgado de Instrucción núm. 2 de Marbella, se afirma que “no se produce esta circunstancia, toda vez que [la] recurrente no se encuentra imputad[a] en sede penal por delito fiscal correspondiente al impuesto sobre la renta de las personas físicas de los ejercicios 2005 y 2006 que constituyen los conceptos tributarios objeto de la presente litis únicamente en el seno de dichas diligencias y como consecuencia de un registro judicial ordenado en dichas diligencias y practicado el 17 de abril de 2007 que fueron enviados a la Agencia Estatal de Administración Tributaria por el Juzgado de Instrucción núm. 2 de Marbella, por ello no existe la prejudicialidad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en relación con el contenido de la prueba electrónica, y su pretendido carácter alterable, se descartan igualmente las alegaciones esgrimidas por la demandante señalando que los citados archivos informáticos son, según consta en el acuerdo de liquidación “unos registros completos y detallados de los ingresos y gastos reales, en ellos se diferencia entre ingresos oficiales y no oficiales. Además, se incluye una especie de cuenta o mayor de cada uno de los comuneros y de los cuatro abogados que prestaban servicios profesionales y que cobraban un porcentaje de los beneficios reales y en los mismos se reflejan los importes declarados que coinciden con los importes realmente declarados por [el actor] y es por lo que hay que concluir que ese ‘archivo informático’ es la ‘contabilidad real’ del despacho de abogados”. Añade que es lógico que “tratándose de ingresos sin declarar, no exista un mayor rastro y que no se tuviesen esos registros en el propio despacho profesional como reconoce el auto que el juzgado instructor envió a la AEAT”.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señala que la entrada y registro de la que procede el documento controvertido fue ya abordada mediante la sentencia del Tribunal Supremo, Sala de lo Penal, de 5 de diciembre de 2012, en la que se declara respecto del mismo registro de entrada y de la documentación intervenida (“operación Hidalgo”) que “se descarta que durante la instrucción se vulneraran los derechos fundamentales de los acusados, analizándose particularmente la licitud del registro practicado en el despacho profesional de uno de los recurrentes, abogado de profesión, entendiéndose que la medida fue proporcionada y estuvo debidamente motivada sirviendo de base para la condena de los recurrentes, con lo cual toda alegación sobre la ilicitud de tal prueba y sus conclusiones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la anterior sentencia, la demandante preparó un recurso de casación de fecha 23 de enero de 2017, en el que se denunciaba la infracción por parte de la sentencia recurrida de la norma del artículo 18 CE [en relación con los artículos 588 ter a) y 579 bis 1 de la Ley de enjuiciamiento criminal (LECrim)]; de las normas de rango constitucional (artículo 10.2 CE) contenidas en los artículos 7 y 52 de la Carta de los derechos fundamentales de la Unión Europea; de la norma del artículo 11.1, párrafo segundo, de la Ley Orgánica del Poder Judicial (LOPJ), en relación con lo dispuesto en el artículo 10.2 de la misma Ley Orgánica, en el artículo 77.4 de la Ley del procedimiento administrativo común de las administraciones públicas y en los artículos 250.2, 251.3 y 257.2 LGT; y de la norma del artículo 24.2 CE, que garantiza el derecho fundamental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inadmitido mediante providencia de 12 de julio de 2017, dictada por la Sección Primera de la Sala de lo Contencioso-Administrativo del Tribunal Supremo, en el recurso 2476/2017, por carencia de interés casacional objetivo para la formación de jurisprudencia y sin que, con respecto del art. 88.3 a) de la Ley de la jurisdicción contencioso-Administrativa, se haya justificado por la recurrente la concurrencia del presupuesto para que opere la presunción que el precepto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infracción del derecho fundamental a la protección de los datos personales (artículo 18.4 CE), en conexión con el derecho a un proceso con todas las garantías (artículo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demanda afirma que las resoluciones administrativas impugnadas lesionan el derecho fundamental a la protección de los datos personales reconocido en el art. 18 CE. Tras referirse a los apartados primero y tercero del precepto, se centra el escrito en la lesión del derecho fundamental a la protección de los datos personales (artículo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esencia, que el medio de prueba como el que da lugar a la liquidación y sanción recurridas, no estaba disponible para la administración tributaria. Razona que, en virtud del principio de proporcionalidad, los medios de prueba que interfieren más intensamente en el ejercicio de los derechos fundamentales quedan reservados para la investigación de aquellas infracciones que atentan más intensamente a los bienes constitucionales de mayor relevancia. Esto explica que las medidas de investigación limitativas de los derechos reconocidos en el artículo 18 CE, reguladas en los artículos 545 y siguientes LECrim, no puedan emplearse con independencia de cuál sea la infracción de cuya persecución se trata. Así, por ejemplo, mientras que la entrada en domicilio puede autorizarse con carácter general para la investigación de cualquier delito o infracción administrativa, otras actuaciones de investigación, como por ejemplo la intervención de comunicaciones escritas o telegráficas (artículo 579 LECrim), telefónicas y telemáticas [artículo 588 ter a) LECrim], o los registros remotos [artículo 588 septies a) LECrim], solo pueden utilizarse para la persecución de las infracciones penales más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anterior, resalta que no hay una regulación legal que ampare el acceso a tales documentos por parte de la administración tributaria ya que ello no está contemplado en la Ley de enjuiciamiento criminal más que para un proceso judicial, no administrativo. De esta manera, el artículo 579 bis LECrim regula la utilización, en el marco de la investigación de una infracción penal, de la información obtenida en un procedimiento distinto. Su apartado primero dispone que el “resultado de la detención y apertura de la correspondencia escrita y telegráfica podrá ser utilizado como medio de investigación o prueba en otro proceso penal”, mientras que los apartados segundo y tercero someten dicha utilización a ciertos requisitos específicos. Al referirse expresamente a la utilización del resultado de la apertura de correspondencia escrita, es discutible la aplicabilidad de la habilitación contenida en este precepto al resultado de un medio de investigación diferente, como es el registro de dispositivos de almacenamiento masivo de información. Sin embargo, lo que no parece dudoso es que esa habilitación se encuentra limitada a la utilización de la información así obtenida “en otro proceso penal” y no, por tanto, en un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expone el régimen jurídico de los descubrimientos casuales, con referencia, por un lado, a los artículos 588 sexies a), b) y c) LECrim, que regulan el registro de dispositivos de almacenamiento masivo de información; y por otro, al uso de los datos recabados en otros procesos, previsto en el art. 579 bis LECrim solo para otro proceso penal, pero no administrativo. En este sentido, recalca que las normas que regulan con carácter general el procedimiento administrativo sancionador tampoco hacen referencia a la posibilidad de utilizar como prueba las obtenidas en el marco de procesos penales (artículo 77 de la Ley 39/2015, de 1 de octubre, del procedimiento administrativo común de las administraciones públicas). Esto sí sucedía, afirma la demanda, en la legislación específica sobre deporte, al existir una previsión legal expresa (artículo 33.5 de la Ley Orgánica 3/2013, de 20 de junio, de protección de la salud del deportista y lucha contra el dopaje en la actividad deportiva), pero no en materia tributaria, donde no habría tal previsión legal expresa. A la vista de lo anterior, y del principio de reserva de ley en materia de interferencias en el derecho a la protección de datos personales, concluye que el traslado de datos por parte del juez instructor no estaba amparado en la normativa vigente. Cita en su apoyo la sentencia del Tribunal de Justicia de la Unión Europea de 17 de diciembre de 2015, asunto C-419/14, WebMindLicenses (ECLI:EU:C:2015:832), que resuelve una cuestión prejudicial relativa a la conformidad con el Derecho de la Unión de un régimen nacional que permitía a la autoridad tributaria de un estado utilizar en la fase probatoria de un procedimiento tributario datos procedentes de “registros de interceptaciones obtenidos sin conocimiento del sujeto pasivo […] en el marco de un procedimiento de carácter penal” (apartado 28). Concluye, en fin, que de acuerdo con la doctrina del Tribunal de Justicia de la Unión Europea, que a su vez se apoya en la del Tribunal Europeo de Derechos Humanos sobre el artículo 8 del Convenio europeo para la protección de los derechos humanos y de las libertades fundamentales, la “utilización por la administración tributaria de pruebas obtenidas en el marco de un procedimiento penal no concluido mediante intercepciones de telecomunicaciones e incautaciones de correos electrónicos” solo respeta los derechos a la vida privada, al secreto de las comunicaciones y la protección de datos si se encuentra prevista por la ley “de forma suficientemente clara y precisa” (apartados 80 y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conexión con lo anterior, se denuncia la vulneración del derecho a un proceso con todas las garantías (artículo 24.2 CE). La demanda se refiere a la doctrina de este tribunal, de acuerdo con la cual “constatada la inadmisibilidad de las pruebas obtenidas con violación de derechos fundamentales, su recepción procesal implica una ignorancia de las ‘garantías’ propias del proceso (artículo 24.2 de la Constitución)” (STC 114/1984, de 29 de noviembre). Recuerda que al tratarse de un procedimiento sancionador es posible esgrimir el derecho a un proceso con todas las garantías que se ve infringido si la imposición de la sanción descansa en el empleo de una prueba ilícita, como es la que resulta de la utilización de los descubrimientos casuales hallados en un proceso penal. En consecuencia, el acuerdo de 14 de septiembre de 2011 lesiona a la vez el derecho fundamental a la protección de datos (artículo 18.4 CE) y el derecho fundamental a un proceso con todas las garantías (artículo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octubre de 2018, la Sala Segunda del Tribunal Constitucional acordó la admisión a trámite del recurso de amparo, apreciando que concurre una especial trascendencia constitucional, porque el recurso plantea un problema o afecta a una faceta de un derecho fundamental sobre el que no hay doctrina de este tribunal [STC 155/2009, FJ 2 a)]. En aplicación de lo dispuesto en el artículo 51 de la Ley Orgánica del Tribunal Constitucional (LOTC), obrando ya en la sala testimonio de las actuaciones judiciales, se ordenó dirigir atenta comunicación al Tribunal Supremo, Sala de lo Contencioso-Administrativo, Sección Primera, a fin de que, en un plazo que no exceda de diez días, remita certificación o fotocopia adverada de las actuaciones correspondientes al recurso de casación 2476-2017. Asimismo, se ordenó dirigir atenta comunicación al Tribunal Superior de Justicia de Andalucía, Sección Tercera, con sede en Málaga, de la Sala de lo Contencioso-Administrativo, para que en un plazo que no exceda de diez días remita igualmente certificación o fotocopia adverada de las actuaciones correspondientes al recurso núm. 92-2014, debiendo previamente emplazarse, para que en el plazo de diez días puedan comparecer, si lo desean, en el recurso de amparo quienes hubieran sido parte en el procedimiento, excepto la parte recurrente en amparo. Por último, se ordena dirigir atento oficio al Tribunal Económico-Administrativo Regional de Andalucía, con sede en Málaga, a fin de que remita copia adverada del expediente administrativo relativo a la reclamación núm. 29/65265/2011, y acumulada 29/65591/2011.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registrado el 18 de octubre de 2018, se persona en el procedimiento, solicitando que se entiendan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23 de noviembre de 2018, se acordó tener por personado al abogado del Estado, acordando dar vista de las actuaciones recibidas, por un plazo común de veinte días, a las partes personadas y al Ministerio Fiscal para que, de conformidad con el artículo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 de enero de 2019, la procuradora de los tribunales doña Blanca Rueda Quintero, en nombre y representación de doña Carmen Molina Serrano, se personó en el proceso de amparo, dando por reproducidas las alegaciones contenidas en el recurso de amparo, sin perjuicio de recoger en su escrito los elementos centrales de la fundamentación jurídica del recurso. Se hace hincapié en el escrito en que, al utilizar la información obtenida mediante el registro de los dispositivos de almacenamiento de información autorizado en el marco de un procedimiento penal, los acuerdos de liquidación y sancionador recurridos han lesionado el derecho a la protección de datos personales del art. 18.4 CE, además de su derecho a un proceso con todas las garantías. Adicionalmente, se reiteran las consideraciones sobre la relevancia del Derecho de la Unión Europea, citando nuevamente la sentencia del Tribunal de Justicia de la Unión Europea de 17 de diciembre de 2015, asunto C-419/14, WebMindLicenses (ECLI:EU:C:2015:832), y añadiendo la cita de la sentencia de 21 de diciembre de 2016, asuntos acumulados C-203/15 y C-698/15, Tele2 Sverige AB (ECLI:EU:C:2016:970), y la referencia al Dictamen 1/15, de la Gran Sala del Tribunal de Justicia de 26 de julio de 2017, sobre el Acuerdo previsto entre Canadá y la Unión Europea sobre el tratamiento y la transferencia de datos del registro de nombres de los pasajeros.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 de enero de 2019 tuvo entrada en el registro de este tribunal el escrito de alegaciones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resumidas las alegaciones principales de la demanda, se refiere en primer lugar a la lesión del art. 18.4 CE. Comienza recalcando que las pruebas obtenidas no pueden ni siquiera considerarse un hallazgo casual, pues ello presupone que aparezcan indicios o pruebas que exceden de los ámbitos objetivos o subjetivos en relación con los cuales se dictó el auto autorizando la intervención. Sin embargo, en este caso precisamente el auto de entrada, registro e incautación tenía por objeto recabar pruebas sobre datos económicos y contables de la comunidad de bienes investigada, por lo que precisamente la obtención de pruebas que mostrarían la doble contabilidad no supone un hallazgo casual, sino de hecho la información que se buscaba en relación con los delitos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utilización, en el procedimiento inspector, de la documentación obtenida como consecuencia de una entrada y registro ordenada en el ámbito de un proceso penal, sostiene que estamos ante unos datos que la propia administración tributaria podría haber obtenido de forma nativa, a través de una autorización de entrada y registro de domicilios y lugares cerrados. En este caso, puesto que el juzgado de instrucción ya había realizado la previa entrada y registro, dicha medida de investigación habría resultado infructuosa, al estar ya la documentación incautada, además de innecesaria, pues precisamente se prevé la solicitud del auxilio del juzgado, al amparo del artículo 94.3 LGT. Se refiere, a continuación, a la doctrina del Tribunal Supremo, con cita de la sentencia de 30 de abril de 2012, dictada por la Sala de lo Contencioso-Administrativo, Sección Segunda, (en el recurso de casación número 197-2010), cuyo fundamento noveno trascribe, y de acuerdo con la cual, si bien no es posible utilizar el resultado de una intervención telefónica acordada en un proceso penal en el marco de un procedimiento sancionador administrativo, lo mismo no es predicable de las diligencias de entrada y registro, pues precisamente el art. 113 LGT, contempla la posibilidad de que la misma se autorice en el marco de las actuaciones inspectoras.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la pretendida vulneración del derecho a la protección de datos personales, del art. 18.4 CE, y tras precisar que la demanda no indica ninguna norma de la Ley Orgánica 15/1999, de 13 de diciembre, de protección de datos de carácter personal (LOPD, en adelante) que supuestamente se haya incumplido en este caso, señala que el art. 11.2 LOPD, aplicable ratione temporis, establece que no se requiere el consentimiento del interesado “[c]uando la cesión está autorizada en una ley”, lo que sucede en este caso, de acuerdo con el art. 94.3 LGT. A mayor abundamiento, el escrito se refiere a la información concretamente obtenida, reiterando que se trataba de información de naturaleza económica, contable y fiscal, cuya incidencia en la intimidad es por tanto menor, y resaltando que el acceso se produjo previa autorización judicial, tal y como después se confirmaría en la sentencia del Tribunal Supremo de 5 de diciembre de 2012, citada por la sentencia del Tribunal Superior de Justicia de Andalucía recurrida en amparo, y en la que se corrobora la licitud del registro practicado en las citadas diligencias penales. No enerva las conclusiones alcanzadas la cita de la sentencia del Tribunal de Justicia de la Unión Europea de 17 de diciembre de 2015 (asunto C-419/14, WebMindLicenses), pues en el mismo se aborda un asunto diferente, referido a la incautación de correos electrónicos por la administración tributaria sin previa autorización judicial, mientras que en el caso contemplado se trata de la incautación de una hoja “Excel” con datos contables, que supone una incidencia mucho menor en los derechos de los afectados. Se concluye que no se ha producido ningún incumplimiento de la normativa de protección de datos, y la utilización y traslado de la prueba recabada se ha ajustado a lo dispuesto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 24.2 CE, se hace hincapié en que la lesión se denuncia en relación con los argumentos referidos a la prueba, que se reputa ilícita por la mencionada lesión del art. 18.4 CE. Por tanto, una vez concluido que la misma no era ilícita, debe concluirse que no se ha lesionado de ninguna forma el derecho de defensa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18 de enero de 2019, en el cual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sucintamente los antecedentes de hecho, y previamente al análisis de fondo, interesa la inadmisión del primer motivo de la demanda, por falta de invocación tempestiva en la instancia judicial, previa a este amparo. En concreto, considera que ni en la reclamación económico-administrativa contra los acuerdos de liquidación tributaria y de sanción impugnados, ni en la demanda del recurso contencioso-administrativo, la recurrente alegó la vulneración de los derechos a la protección de datos y al proceso con todas las garantías de los arts. 18.4 y 24.2 CE, en base a la ausencia de una previsión legal que legitime la incorporación al proceso administrativo tributario de los elementos de prueba obtenidos en el marco de un proceso penal con restricción de derechos fundamentales. Esta vulneración de derechos fundamentales, que es la alegada en la demanda de amparo, se denunció por primera vez en la instancia, en el momento de preparación del recurso de casación contra la sentencia dictada por la Sala de lo Contencioso-Administrativo del Tribunal Superior de Justicia de Andalucía, con sede en Málaga, que fue inadmitido a trámite por la providencia de 12 de julio de 2017, de la Sala de lo Contencioso-Administrativo del Tribunal Supremo, al no apreciar la concurrencia de interés casacional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en cuanto al fondo, considera que en todo caso sí existe en la Ley de enjuiciamiento criminal habilitación legal para emplear las pruebas halladas en un procedimiento diferente, con cita de los arts. 579 bis y 588 bis i), añadiendo que en todo caso la demanda no cuestiona la legitimidad de la medida de registro de los equipos informáticos, sino únicamente el traslado de la prueba desde el proceso penal al administrativo. En este sentido, se refiere a los arts. 93 y 94 LGT, en los que se encontraría la habilitación legal para dicho traslado de prueba, que además constituye un mandato de acuerdo con el art. 93.4 LGT, que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que bastaría para que se desestimaran las vulneraciones alegadas, se añade que la propia administración tributaria, y en concreto la inspección tributaria, está expresamente facultada para el registro de toda clase de documentos que contengan información con relevancia tributaria, pudiendo para ello acceder en su caso al domicilio de un contribuyente, previa autorización judicial, de acuerdo con lo previsto en los arts. 113 y 142 LGT. Con ello se descarta toda vulneración del art. 18.4 CE y, en relación con la misma, la alegada vulneración del art. 24.2 CE, que se sustenta en el uso que se hizo en el procedimiento administrativo de la prueba pretendidamente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junio de 2020 se señaló para votación y fallo del presente recurso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los acuerdos de liquidación, de fecha 29 de agosto de 2011, y de resolución del procedimiento sancionador, de 14 de septiembre de 2011, dictados por la dependencia regional de inspección de la delegación especial de la Agencia Estatal de Administración Tributaria de Andalucía, la resolución del Tribunal Económico-Administrativo Regional de Andalucía de 19 diciembre de 2013, sobre el impuesto sobre la renta de las personas físicas, ejercicios 2005 y 2006, y la sentencia de 21 de noviembre de 2016, dictada por la Sección Tercera de la Sala de lo Contencioso-Administrativo, con sede en Málaga, del Tribunal Superior de Justicia de Andalucía y la providencia de inadmisión del recurso de casación de 12 de julio de 2017, dictada por la Sección Primera de la Sala de lo Contencioso-Administrativo del Tribunal Supremo, en la medida en que no habrían reparado las vulneraciones que se alega han sido producidas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la vulneración de los arts. 18.4 y 24.2 CE. Con los argumentos que ya han quedado recogidos en el antecedente tercero, y que se dan por reproducidos, considera que la liquidación tributaria, y posterior sanción, se basaron únicamente en una prueba que reputa ilícita, a consecuencia de haber sido obtenida en un procedimiento penal, por considerar que este medio de prueba no estaba disponible para la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respectivos escritos, resumidos en los antecedentes octavo y noveno, el abogado del Estado y el Ministerio Fiscal solicitan la denegación del amparo. Este último alega, además, la falta de invocación tempestiva de las lesiones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falta de invocación previa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enjuiciar las quejas de fondo de la demanda, ha de darse contestación a las excepciones de inadmisibilidad invocadas por el Ministerio Fiscal, que ha interesado la inadmisión del primero de los motivos, con base en el art. 44.1 c) LOTC, al considerar incumplido el requisito de invocación tempestiva. Considera que la recurrente alegó la vulneración de los derechos a la protección de datos y al proceso con todas las garantías de los arts. 18.4 y 24.2 CE únicamente cuando se presentó el escrito de preparación del recurso de casación, sin que previamente se mencionaran los derechos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debe ser rechazado. Es cierto que, en un primer momento, las alegaciones de la demanda se refirieron no solo al traslado de la prueba desde el proceso penal al administrativo, sino a la prueba misma, estimando que no revestía las garantías necesarias para su traslado, por tratarse de un archivo contable fácilmente manipulable. Esta alegación, sin embargo, no se reitera después, en la demanda de amparo, en la que en todo caso se sigue manteniendo, como se ha hecho desde el inicio, la queja de ilegalidad de la prueba al considerar que la inspección carecía de potestades para liquidar y sancionar sobre la base del citado documento contable, procedente de un registro ordenado en un procedimiento penal. Por otro lado, tal y como consta en los antecedentes de esta sentencia, en las reclamaciones económico-administrativas formuladas por la demandante ante el tribunal económico-administrativo regional, se hizo ya referencia a la conculcación del deber de secreto por parte de la inspección, con mención de la ley de protección de datos. Posteriormente, tanto en la propia demanda ante el Tribunal Superior de Justicia de Andalucía, como en el trámite de conclusiones escritas, se argumentó sobre la vulneración de su derecho a la presunción de inocencia, y con mención del derecho al secreto de las comunicaciones (recogido en el art. 18.3 CE), aunque sin citar expresamente el art. 18.4 CE, como se haría después, en la preparación del recurso de casación, y en el recurso de amparo. De esta manera, examinado el conjunto del expediente, debe restarse importancia al hecho de que la demanda solo contenga una referencia explícita al art. 18.4 CE en el recurso de casación, y después en amparo. Efectivamente las alegaciones mantenidas en las distintas fases procesales no han sido idénticas en su formulación, pero debe recordarse que nuestra doctrina lo que exige es que la recurrente haya aportado al órgano judicial los datos de hecho suficientes para que este último pueda reconocer la existencia de la lesión del derecho fundamental que ante él se deduce [SSTC 191/2011, de 12 de diciembre, FJ 2; 40/2012, de 29 de marzo, FJ 3; 41/2012, de 29 de marzo, FJ 4, y 3/2018, de 22 de enero, FJ 2 c)], lo que sucede en este caso, en el que cabe por tanto apreciar una homogeneidad en las quejas esgrimidas tanto en la vía administrativa como en la judicial, y teniendo en cuenta que hemos reiterado que “[l]o decisivo es que, a través de las alegaciones que se formulen en la vía judicial, de los términos en que se ha planteado el debate en la vía procesal o de la descripción fáctica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 (STC 22/2020, de 13 de febrero, FJ 6; con cita de las SSTC 53/2012, de 29 de marzo, FJ 2, y 117/2014, de 8 de julio, FJ 3). No cabe, en consecuencia, apreciar el defecto de falta de invocación de la lesión constitucional [art. 44.1 c) LOTC] opuesto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hacer una referencia expresa a las razones por las cuales este asunto tiene especial trascendencia constitucional, al tratarse de una cuestión de orden público procesal (STC 222/2016, de 19 de diciembre, FJ 2). La concurrencia del requisito de admisión [artículos 49.1 y 50.1 b) LOTC] y las exigencias de certeza y buena administración de justicia (STEDH de 20 de enero de 2015, asunto Arribas Antón c. España, § 46) obligan a explicitar su cumplimiento a fin de hacer así reconocibles los criterios empleados al efecto por este tribunal, al que corresponde en exclusiva la apreciación de si concurre en cada caso trascendencia constitucional, o lo que es lo mismo, si el contenido del recurso justifica una decisión sobre el fondo, atendiendo a su importancia para la interpretación de la Constitución, para su aplicación o para su general eficacia y para la determinación del contenido y alcance de los derechos fundamentales (SSTC 172/2016, de 17 de octubre, FJ 2; 14/2017, de 30 de enero, FJ 3, y 37/2019, de 26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asunto, el tribunal decidió admitir el recurso de amparo al apreciar que concurre en el mismo una especial trascendencia constitucional (art. 50.1 LOTC) porque el recurso plantea un problema o afecta a una faceta de un derecho fundamental sobre el que no hay doctrina de este Tribunal [STC 155/2009, FJ 2 a)]. En el momento de su admisión, el tribunal valoró la novedad, desde la perspectiva del art. 24.2 CE, de una controversia en la que se deben abordar las posibilidades de utilización, por parte de la inspección de los tributos y en el marco de un procedimiento sancionador, de pruebas que han sido previamente recabadas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las lesiones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demandante de amparo haya articulado dos quejas diferenciadas, invocando, por un lado, el art. 18.4 CE y, por otro, el 24.2 CE, lo cierto es que, como advierte el abogado del Estado en su escrito de alegaciones, la argumentación en la que se fundamentan las dos quejas es similar, pues lo que se cuestiona es el uso de una prueba documental en el ámbito sancionador administrativo, tras ser obtenida en el marco de un procedimiento penal. La vulneración del derecho a un proceso con todas las garantías (art. 24.2 CE) que se alega por la demanda se vincula así al traslado de la prueba obtenida en el procedimiento penal, que se reputa por ello ilegal, y lesionadora también del art. 18.4 CE, al no estar prevista en la ley dicha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cuestiona la legitimidad de la decisión judicial por la que se autorizó la entrada y registro en la que se obtuvo la prueba, ni por tanto estrictamente la legalidad del proceso de obtención de la misma, que consta en los antecedentes que procede de un registro ordenado por el Juzgado de Instrucción número 2 de Marbella, en el curso de las diligencias previas 1455-2006 (posteriormente, procedimiento abreviado número 80-2010). La queja, como ha quedado recogido en los antecedentes de esta sentencia, se refiere al hecho de que, habiéndose obtenido en el ámbito de un procedimiento penal, la prueba documental se haya utilizado, después, en un procedimiento administrativo, y utilizado como base para dictar la liquidación e imponer la sanción que aquí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parte así de la premisa de que una prueba obtenida en el marco de un procedimiento penal no puede ser utilizada después en un procedimiento administrativo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premisa debe ser rechazada, a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primero que debe precisarse es que el art. 18.4 CE, que garantiza el derecho fundamental a la protección de datos de carácter personal, no se ve vulnerado en este proceso, de acuerdo con nuestra jurisprudencia, recogida entre otras en la STC 17/2013, de 31 de enero, FJ 4, y en la que se establece que “la cesión de datos entre administraciones públicas sin consentimiento del afectado, cuando se cedan para el ejercicio de competencias distintas o que versen sobre materias distintas de aquellas que motivaron su recogida, únicamente será posible, fuera de los supuestos expresamente previstos por la propia Ley Orgánica de protección de datos, si existe previsión legal expresa para ello [art. 11.2 a) en relación con el 6.1 LOPD] ya que, a tenor de lo dispuesto en el art. 53.1 CE, los límites al derecho a consentir la cesión de los datos a fines distintos para los que fueron recabados están sometidos a reserva de ley”. En este caso, existe una previsión legal en el art. 94.3 LGT, que establece que “[l]os juzgados y tribunales deberán facilitar a la administración tributaria, de oficio o a requerimiento de la misma, cuantos datos con trascendencia tributaria se desprendan de las actuaciones judiciales de las que conozcan, respetando, en su caso, el secreto de las diligencias sumariales”. Todo ello, sin perjuicio de las obligaciones de información previstas en el art. 93 de la misma norma, y con las salvaguardas a que se refiere el art. 95, sobre el carácter reservado de los datos con trascendencia tributaria. En consecuencia, la obtención de los datos contables obtenidos en el registro ordenado en el marco de un procedimiento penal, y su posterior traslado a la administración tributaria, no es susceptible de afectar al art. 18.4 CE en los términos pretendidos en la demanda, por lo que debe descartarse que se trate de una prueba ilícita en el sentido del art. 11.1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garantías procedimentales del art. 24.2 CE son aplicables a un procedimiento sancionador administrativo (por todas, SSTC 18/1981, de 8 de junio, FJ 2; 59/2014, de 5 de mayo, FJ 3, y 54/2015, de 16 de marzo, FJ 7). Por ello, en el ámbito de un procedimiento administrativo en materia tributaria son admisibles todas las pruebas que, en general, sean incorporadas de acuerdo con las normas que sobre medios y valoración de la prueba se contienen en el Código civil y en la Ley 1/2000, de 7 de enero, de enjuiciamiento civil, a las que se remite expresamente el art. 106.1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una vez resuelto que la prueba controvertida fue incorporada sin vulneración del art. 18.4 CE, es relevante determinar si, en el procedimiento concreto y desde la perspectiva del art. 24.2 CE, la demandante tuvo la oportunidad de formular alegaciones frente a la prueba trasladada. En este sentido, la demanda no afirma, ni tampoco se desprende del expediente, que no haya podido ejercer sus derechos de defensa, pues de hecho ha tenido oportunidad de cuestionar la prueba documental, oponiendo los argumentos que ha estimado convenientes al respecto, que han sido desestimados tanto en la vía administrativa como en la jurisdiccional, y sin que por tanto se aprecie indefensión. Dicho de otro modo, lo relevante, a los efectos de las garantías del art. 24.2 CE, es que la prueba inicialmente obtenida en un procedimiento penal ha sido después practicada en un procedimiento administrativo de liquidación y sanción en el que la demandante ha podido desplegar sus posibilidades de defensa, sin que las mismas se hayan visto efectivamente perjudicadas por el hecho de la procedencia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frente al alegato de la demanda, en este caso nos encontramos ante un hallazgo o descubrimiento casual, pero no en el sentido y con los efectos que esta figura produce en el ámbito de la investigación penal. En este supuesto no se ha constatado la existencia de otra figura delictiva distinta de la que justificó la medida de investigación acordada. El archivo encontrado indicaba una posible infracción tributaria que, como tal, debe ser puesta en conocimiento de la administración competente, según dispone el art. 94.3 LGT. En este caso, además, el objeto de la entrada domiciliaria autorizada mediante auto por el órgano judicial estaba constituido por la necesidad de recabar pruebas documentales en un procedimiento de blanqueo de capitales. Sigue a ello lógicamente que un documento contable se encuentra dentro del ámbito de la búsqueda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relación con la naturaleza de la medida de investigación, la recurrente alega que la administración no puede utilizar una prueba obtenida a través de una medida de investigación judicial penal cuyo uso no esté en la normativa administrativa. Sin embargo, la habilitación legal reconocida en el art. 94.3 LGT establece la obligación para el órgano judicial de comunicar a la administración “cuantos datos con trascendencia tributaria se desprendan de las actuaciones judiciales”, y ello con independencia del concreto medio de obtención de esos datos. El único límite que establece el precepto es el “secreto de las diligencias sumariales”, a lo que debe añadirse, por motivos obvios, la inexistencia de prueba ilícita que, en este caso, ni siquiera se ha planteado en la demanda, ya que no se discute la legalidad de la entrada y registro acordada en el procedimiento penal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que se contiene en la demanda a las sentencias del Tribunal de Justicia de la Unión Europea, de 17 de diciembre de 2015, asunto C-419/14, WebMindLicenses (ECLI:EU:C:2015:832); y de 21 de diciembre de 2016, asuntos acumulados C-203/15 y C-698/15, Tele2 Sverige AB (ECLI:EU:C:2016:970), no solo no altera las conclusiones alcanzadas, sino que las apuntala. En efecto, aunque se trata de asuntos diferentes al presente proceso de amparo, en ambos se hace hincapié en que lo relevante es que se ejerza un control jurisdiccional sobre los datos, o sobre las pruebas trasladadas a un procedimiento administrativo. Específicamente, en la sentencia de 17 de diciembre de 2015, referida a un litigio del impuesto sobre el valor añadido (IVA), se admite que la administración tributaria pueda utilizar, con el fin de determinar la existencia de una práctica abusiva, pruebas que han sido obtenidas en el marco de un procedimiento penal paralelo incluso si no ha concluido, siempre que se hayan recabado con respeto de los derechos y garantías, su utilización esté prevista en la ley, y el órgano judicial compruebe que “con arreglo al principio general del respeto del derecho de defensa, el sujeto pasivo tuvo la posibilidad, en el marco del procedimiento administrativo, de tener acceso a esas pruebas y de ser oído en relación con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cabe concluir que la prueba documental controvertida, en su momento lícitamente obtenida, por mor del auto judicial de entrada y registro, fue trasladada después a la inspección de los tributos sin que ello haya supuesto la vulneración de las garantías del art. 24.2 CE, habida cuenta de que, no solo su traslado estaba previsto en la ley (art. 94.3 LGT) sino que la demandante tuvo entonces la oportunidad de formular cuantas alegaciones estimó oportunas, ejerciendo su derecho a la defensa sin menoscabo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amparo interpuesto por doña Carmen Molina Serrano.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