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65</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29 de junio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y don Cándido Conde-Pumpido Tourón, en el recurso de amparo núm. 3546-2019, promovido por Penrei Inversiones,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6 de junio de 2019,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5 de Lorca en el procedimiento de ejecución hipotecaria núm. 372-2018, en fechas 21 de septiembre de 2018 y 23 de abril de 2019, por los que, respectivamente, se inadmite por extemporánea la oposición a la ejecución hipotecaria y se confirma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5 de Lorca se sigue procedimiento de ejecución hipotecaria núm. 372-2018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8 de junio de 2018 se acordó despachar ejecución frente las sociedades demandadas. El citado auto y el decreto de la misma fecha que le sigue fueron comunicados a las citadas entidades a través de la sede judicial electrónica el día 13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Penrei Inversiones, S.L., presentó escrito de oposición a la ejecución despachada con fecha 31 de julio de 2018. Por auto de 21 de septiembre de 2018 se acordó su inadmisión por presentación extemporánea tomando como fecha de notificación el 13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Alegó, en síntesis, que las actuaciones de notificación y requerimiento no habían sido realizadas el día 13 de junio de 2018 sino el 24 de julio de 2018 y que la comunicación remitida a través de la dirección electrónica habilitada no puede entenderse más que un aviso de puesta a disposición o descarga de su contenido durante un plazo determinado (en el caso desde el 13 de junio al 29 de julio de 2018) y entenderlo de otro modo, además de infringir los arts. 135, 152, 160,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fue desestimado por auto de 23 de abril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“consta que la notificación se puso a disposición de las recurrentes en fecha 13/06/2018 no accediendo al contenido hasta el día 24/07/2018 (fuera de los tres días que establece la normativa procesal), presentando los escritos de oposición a la ejecución en fecha 31/07/2018 claramente fuera del plazo legalmente establecido en el art. 556.1 LEC (dentro de los diez días siguientes al de la notificación del auto despachando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recibido una Notificación del órgano emisor Juzgados y Tribunales (SGAJ) en la Dirección Electrónica Habilitada del titular Penrei Inversiones, S.L., – NIF B73836173.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Notificación estará disponible en su Dirección Electrónica Habilitada única desde el 13-06-2018 hasta el 29-07-2018. Si no procediera a su lectura en el plazo indicado se producirán los efectos correspondientes, según la normativa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que conste como leída, por favor acceda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http://notificaciones060.es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Asunto: ‘JDO. 1 INST. E INSTR. N 3 DE LORCA EHJ/000000102/2018’”.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30 de septiembre de 2019 la Sección Primera de este tribunal acordó admitir a trámite el recurso de amparo y dirigir comunicación al Juzgado de Primera Instancia e Instrucción núm. 5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7 de octubre de 2019 la parte demandante formuló sus alegaciones, reiterando lo dicho en el otrosí de su demanda y trascribiendo parte del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17 de octubre de 2019, interesa que se acuerde la anotación preventiva de la demanda en el registro de la propiedad, aunque esta última medida no haya sido solicitada en el recurso de amparo. Tras exponer la doctrina de este tribunal sobre suspensión de resoluciones y actos impugnados, aduce que en el presente caso la suspensión no aparece muy fundamentada por la propia parte recurrente, resultando más eficaz la anotación preventiva de la demanda en el registro de la propiedad mediante la que se evitaría que un hipotético tercer adquirente del inmueble hipotecado quede especialmente protegido.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diligencia de ordenación de 8 de mayo de 2020 se acordó, conforme a lo dispuesto en el art. 56 LOTC, dar audiencia por tres días a Pera Assets Designated Activity Company, representada por la procuradora doña Blanca María Grande Pesquero, por haberse personado en las actuaciones principales. Esta parte ha presentado escrito en que solicita la denegación de la suspensión ya que, a su juicio, la demandante de amparo no ha acreditado ningún tipo de perjuicio que pueda considerarse irreparable.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372-2018 seguido en el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2/2019, de 9 de enero, 88/2018, de 17 de septiembre, y 106/2017, de 17 de julio. Últimamente, en relación con la demandante de amparo y en los recursos que componen la serie en que se integra el presente, se han dictado en el mismo sentido, entre otros, los AATC 7/2020, de 27 de enero, y 26/2020, de 24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372-2018, seguido en el Juzgado de Primera Instancia e Instrucción núm. 5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junio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